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Audit Controls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164.312(b) — Audit Controls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164.312(b) (Audit Controls): Implement hardware, software, and/or procedural mechanisms that record and examine activity in information systems that contain or use ePHI.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 hardware, software or procedural mechanisms that record and examine activity in systems containing or using ePHI. The standard has two halves, and organisations routinely satisfy only the first: you must record activity, and you must examine what you record.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What to record:.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Authentication events — successes, failures, lockouts and password changes.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to ePHI records, including read access, with the user, subject record, timestamp and source.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Creation, modification, deletion and export of ePHI.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Bulk queries, report generation, printing and downloads.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Privileged and administrative actions, including changes to accounts and permissions.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Changes to the audit configuration itself, and any attempt to disable or clear logs.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Remote access sessions, VPN connections and API activity.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What to do with it:.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Define who reviews logs, how often, and what triggers escalation, then evidence that it happens.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Automate detection for the patterns that matter: same-surname access, VIP record access, access outside working hours, bulk export, repeated authorisation failures.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Centralise logs off the originating host so a compromised system cannot erase its own trail.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Protect log integrity with append-only or write-once storage and restricted access.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Set retention to at least six years where the log evidences compliance activity, per 164.316(b)(2).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Record each review: who reviewed, what period, what was found and what action followed.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Note the relationship with 164.308(a)(1)(ii)(D): the information system activity review specification requires regular review of audit logs, access reports and incident tracking reports. The two standards are tested together.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Audit controls policy defining what is logged, why, and for how long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Log review procedure naming the reviewer role, frequency and escalation path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Inventory of systems holding ePHI, each mapped to its logging configuration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Audit log configuration evidence per system, including which event types are captured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Completed log review records with reviewer, date, period covered, findings and actions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Alert rule definitions and the tuning history behind them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Log retention and protection standard, including integrity controls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Records of any log-related incident and its investigation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Evidence that audit configuration changes are themselves logged and approved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every system in the ePHI inventory produces logs, and identify any that do not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read access to ePHI is captured, not only writes — this is the most common gap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Generate a test access event and confirm it appears in the log with user, record, timestamp and source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Attempt to modify or delete a log entry as a privileged user and confirm the attempt is prevented or recorded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Inspect completed review records and confirm they show genuine examination rather than a signature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Trace a sample alert from trigger through investigation to documented outcome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retention meets policy by retrieving a record from the earliest retained period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Check that clocks are synchronised across systems so events can be correlated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logs are stored off the originating host and are access-restricted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audit configuration changes are logged and require approval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3.3.2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Audit Controls Policy Template</dc:title>
  <dc:subject>Policy and procedure template for 45 CFR 164.312(b) — Audit Controls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