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Business Associate Contracts or Other Arrangements Policy Template</w:t>
      </w:r>
    </w:p>
    <w:p>
      <w:pPr>
        <w:spacing w:before="60" w:after="120" w:line="276" w:lineRule="auto"/>
      </w:pPr>
      <w:r>
        <w:rPr>
          <w:i/>
          <w:sz w:val="20"/>
          <w:szCs w:val="20"/>
          <w:color w:val="475569"/>
        </w:rPr>
        <w:t xml:space="preserve">Policy and procedure template for 45 CFR 164.314(a)(1) — Business Associate Contracts or Other Arrangements</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164.314(a)(1) (Business Associate Contracts or Other Arrangements): A covered entity may permit a business associate to create, receive, maintain, or transmit ePHI on the covered entity's behalf only if the covered entity obtains satisfactory assurances that the business associate will appropriately safeguard the information.</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A covered entity may permit a business associate to create, receive, maintain or transmit ePHI on its behalf only with satisfactory assurances, documented in a written contract, that the business associate will appropriately safeguard the information. The organisational requirement at 164.314(a)(1) sets what that contract must contain; 164.308(b)(1) requires the assurances themselves.</w:t>
      </w:r>
    </w:p>
    <w:p>
      <w:pPr>
        <w:spacing w:before="60" w:after="120" w:line="276" w:lineRule="auto"/>
        <w:ind w:left="454" w:hanging="227"/>
      </w:pPr>
      <w:r>
        <w:rPr>
          <w:sz w:val="20"/>
          <w:szCs w:val="20"/>
          <w:color w:val="1E293B"/>
        </w:rPr>
        <w:t xml:space="preserve">• The agreement must require the business associate to:.</w:t>
      </w:r>
    </w:p>
    <w:p>
      <w:pPr>
        <w:spacing w:before="60" w:after="120" w:line="276" w:lineRule="auto"/>
        <w:ind w:left="454" w:hanging="227"/>
      </w:pPr>
      <w:r>
        <w:rPr>
          <w:sz w:val="20"/>
          <w:szCs w:val="20"/>
          <w:color w:val="1E293B"/>
        </w:rPr>
        <w:t xml:space="preserve">• Comply with the Security Rule's administrative, physical and technical safeguards.</w:t>
      </w:r>
    </w:p>
    <w:p>
      <w:pPr>
        <w:spacing w:before="60" w:after="120" w:line="276" w:lineRule="auto"/>
        <w:ind w:left="454" w:hanging="227"/>
      </w:pPr>
      <w:r>
        <w:rPr>
          <w:sz w:val="20"/>
          <w:szCs w:val="20"/>
          <w:color w:val="1E293B"/>
        </w:rPr>
        <w:t xml:space="preserve">• Ensure that any subcontractor creating, receiving, maintaining or transmitting ePHI on its behalf agrees to equivalent restrictions, through a downstream agreement.</w:t>
      </w:r>
    </w:p>
    <w:p>
      <w:pPr>
        <w:spacing w:before="60" w:after="120" w:line="276" w:lineRule="auto"/>
        <w:ind w:left="454" w:hanging="227"/>
      </w:pPr>
      <w:r>
        <w:rPr>
          <w:sz w:val="20"/>
          <w:szCs w:val="20"/>
          <w:color w:val="1E293B"/>
        </w:rPr>
        <w:t xml:space="preserve">• Report security incidents, including breaches of unsecured PHI, to the covered entity.</w:t>
      </w:r>
    </w:p>
    <w:p>
      <w:pPr>
        <w:spacing w:before="60" w:after="120" w:line="276" w:lineRule="auto"/>
        <w:ind w:left="454" w:hanging="227"/>
      </w:pPr>
      <w:r>
        <w:rPr>
          <w:sz w:val="20"/>
          <w:szCs w:val="20"/>
          <w:color w:val="1E293B"/>
        </w:rPr>
        <w:t xml:space="preserve">• Make its practices available to HHS for compliance review.</w:t>
      </w:r>
    </w:p>
    <w:p>
      <w:pPr>
        <w:spacing w:before="60" w:after="120" w:line="276" w:lineRule="auto"/>
        <w:ind w:left="454" w:hanging="227"/>
      </w:pPr>
      <w:r>
        <w:rPr>
          <w:sz w:val="20"/>
          <w:szCs w:val="20"/>
          <w:color w:val="1E293B"/>
        </w:rPr>
        <w:t xml:space="preserve">• Return or destroy PHI at termination where feasible, and extend protections where it is not.</w:t>
      </w:r>
    </w:p>
    <w:p>
      <w:pPr>
        <w:spacing w:before="60" w:after="120" w:line="276" w:lineRule="auto"/>
        <w:ind w:left="454" w:hanging="227"/>
      </w:pPr>
      <w:r>
        <w:rPr>
          <w:sz w:val="20"/>
          <w:szCs w:val="20"/>
          <w:color w:val="1E293B"/>
        </w:rPr>
        <w:t xml:space="preserve">• Operating the requirement in practice:.</w:t>
      </w:r>
    </w:p>
    <w:p>
      <w:pPr>
        <w:spacing w:before="60" w:after="120" w:line="276" w:lineRule="auto"/>
        <w:ind w:left="454" w:hanging="227"/>
      </w:pPr>
      <w:r>
        <w:rPr>
          <w:sz w:val="20"/>
          <w:szCs w:val="20"/>
          <w:color w:val="1E293B"/>
        </w:rPr>
        <w:t xml:space="preserve">• - Identify business associates by function, not by label. A vendor with incidental, unavoidable access — a cloud host, a managed service provider, an offshore transcription service — is a business associate. Conduit exceptions are narrow and often misapplied.</w:t>
      </w:r>
    </w:p>
    <w:p>
      <w:pPr>
        <w:spacing w:before="60" w:after="120" w:line="276" w:lineRule="auto"/>
        <w:ind w:left="454" w:hanging="227"/>
      </w:pPr>
      <w:r>
        <w:rPr>
          <w:sz w:val="20"/>
          <w:szCs w:val="20"/>
          <w:color w:val="1E293B"/>
        </w:rPr>
        <w:t xml:space="preserve">• - Maintain a register with counterparty, service, ePHI involved, agreement dates, expiry and renewal owner.</w:t>
      </w:r>
    </w:p>
    <w:p>
      <w:pPr>
        <w:spacing w:before="60" w:after="120" w:line="276" w:lineRule="auto"/>
        <w:ind w:left="454" w:hanging="227"/>
      </w:pPr>
      <w:r>
        <w:rPr>
          <w:sz w:val="20"/>
          <w:szCs w:val="20"/>
          <w:color w:val="1E293B"/>
        </w:rPr>
        <w:t xml:space="preserve">• - Execute the agreement before any ePHI moves, not after go-live.</w:t>
      </w:r>
    </w:p>
    <w:p>
      <w:pPr>
        <w:spacing w:before="60" w:after="120" w:line="276" w:lineRule="auto"/>
        <w:ind w:left="454" w:hanging="227"/>
      </w:pPr>
      <w:r>
        <w:rPr>
          <w:sz w:val="20"/>
          <w:szCs w:val="20"/>
          <w:color w:val="1E293B"/>
        </w:rPr>
        <w:t xml:space="preserve">• - Set breach reporting timelines in the contract rather than relying on the regulatory default, which can consume most of your own 60-day window.</w:t>
      </w:r>
    </w:p>
    <w:p>
      <w:pPr>
        <w:spacing w:before="60" w:after="120" w:line="276" w:lineRule="auto"/>
        <w:ind w:left="454" w:hanging="227"/>
      </w:pPr>
      <w:r>
        <w:rPr>
          <w:sz w:val="20"/>
          <w:szCs w:val="20"/>
          <w:color w:val="1E293B"/>
        </w:rPr>
        <w:t xml:space="preserve">• - Assess the risk each business associate presents proportionate to the data they hold; a signature is assurance, not verification.</w:t>
      </w:r>
    </w:p>
    <w:p>
      <w:pPr>
        <w:spacing w:before="60" w:after="120" w:line="276" w:lineRule="auto"/>
        <w:ind w:left="454" w:hanging="227"/>
      </w:pPr>
      <w:r>
        <w:rPr>
          <w:sz w:val="20"/>
          <w:szCs w:val="20"/>
          <w:color w:val="1E293B"/>
        </w:rPr>
        <w:t xml:space="preserve">• - Track subcontractors where they materially hold your data.</w:t>
      </w:r>
    </w:p>
    <w:p>
      <w:pPr>
        <w:spacing w:before="60" w:after="120" w:line="276" w:lineRule="auto"/>
        <w:ind w:left="454" w:hanging="227"/>
      </w:pPr>
      <w:r>
        <w:rPr>
          <w:sz w:val="20"/>
          <w:szCs w:val="20"/>
          <w:color w:val="1E293B"/>
        </w:rPr>
        <w:t xml:space="preserve">• - Review agreements on renewal, on material service change, and when regulation changes.</w:t>
      </w:r>
    </w:p>
    <w:p>
      <w:pPr>
        <w:spacing w:before="60" w:after="120" w:line="276" w:lineRule="auto"/>
        <w:ind w:left="454" w:hanging="227"/>
      </w:pPr>
      <w:r>
        <w:rPr>
          <w:sz w:val="20"/>
          <w:szCs w:val="20"/>
          <w:color w:val="1E293B"/>
        </w:rPr>
        <w:t xml:space="preserve">• - Ensure termination triggers return or destruction, and obtain confirmation.</w:t>
      </w:r>
    </w:p>
    <w:p>
      <w:pPr>
        <w:spacing w:before="60" w:after="120" w:line="276" w:lineRule="auto"/>
        <w:ind w:left="454" w:hanging="227"/>
      </w:pPr>
      <w:r>
        <w:rPr>
          <w:sz w:val="20"/>
          <w:szCs w:val="20"/>
          <w:color w:val="1E293B"/>
        </w:rPr>
        <w:t xml:space="preserve">• Business associates are directly liable for Security Rule compliance and have been the subject of OCR enforcement in their own right.</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Business associate management policy and procedure</w:t>
      </w:r>
    </w:p>
    <w:p>
      <w:pPr>
        <w:spacing w:before="60" w:after="120" w:line="276" w:lineRule="auto"/>
        <w:ind w:left="454" w:hanging="227"/>
      </w:pPr>
      <w:r>
        <w:rPr>
          <w:sz w:val="20"/>
          <w:szCs w:val="20"/>
          <w:color w:val="1E293B"/>
        </w:rPr>
        <w:t xml:space="preserve">• Register of all business associates, with service, ePHI involved and access route</w:t>
      </w:r>
    </w:p>
    <w:p>
      <w:pPr>
        <w:spacing w:before="60" w:after="120" w:line="276" w:lineRule="auto"/>
        <w:ind w:left="454" w:hanging="227"/>
      </w:pPr>
      <w:r>
        <w:rPr>
          <w:sz w:val="20"/>
          <w:szCs w:val="20"/>
          <w:color w:val="1E293B"/>
        </w:rPr>
        <w:t xml:space="preserve">• Executed business associate agreements, with effective and expiry dates</w:t>
      </w:r>
    </w:p>
    <w:p>
      <w:pPr>
        <w:spacing w:before="60" w:after="120" w:line="276" w:lineRule="auto"/>
        <w:ind w:left="454" w:hanging="227"/>
      </w:pPr>
      <w:r>
        <w:rPr>
          <w:sz w:val="20"/>
          <w:szCs w:val="20"/>
          <w:color w:val="1E293B"/>
        </w:rPr>
        <w:t xml:space="preserve">• Evidence that the agreement predates any ePHI disclosure</w:t>
      </w:r>
    </w:p>
    <w:p>
      <w:pPr>
        <w:spacing w:before="60" w:after="120" w:line="276" w:lineRule="auto"/>
        <w:ind w:left="454" w:hanging="227"/>
      </w:pPr>
      <w:r>
        <w:rPr>
          <w:sz w:val="20"/>
          <w:szCs w:val="20"/>
          <w:color w:val="1E293B"/>
        </w:rPr>
        <w:t xml:space="preserve">• Subcontractor arrangements where a business associate uses downstream providers</w:t>
      </w:r>
    </w:p>
    <w:p>
      <w:pPr>
        <w:spacing w:before="60" w:after="120" w:line="276" w:lineRule="auto"/>
        <w:ind w:left="454" w:hanging="227"/>
      </w:pPr>
      <w:r>
        <w:rPr>
          <w:sz w:val="20"/>
          <w:szCs w:val="20"/>
          <w:color w:val="1E293B"/>
        </w:rPr>
        <w:t xml:space="preserve">• Risk assessment or due diligence records per business associate, proportionate to risk</w:t>
      </w:r>
    </w:p>
    <w:p>
      <w:pPr>
        <w:spacing w:before="60" w:after="120" w:line="276" w:lineRule="auto"/>
        <w:ind w:left="454" w:hanging="227"/>
      </w:pPr>
      <w:r>
        <w:rPr>
          <w:sz w:val="20"/>
          <w:szCs w:val="20"/>
          <w:color w:val="1E293B"/>
        </w:rPr>
        <w:t xml:space="preserve">• Breach and incident notification terms, including agreed timelines</w:t>
      </w:r>
    </w:p>
    <w:p>
      <w:pPr>
        <w:spacing w:before="60" w:after="120" w:line="276" w:lineRule="auto"/>
        <w:ind w:left="454" w:hanging="227"/>
      </w:pPr>
      <w:r>
        <w:rPr>
          <w:sz w:val="20"/>
          <w:szCs w:val="20"/>
          <w:color w:val="1E293B"/>
        </w:rPr>
        <w:t xml:space="preserve">• Renewal tracking and review records</w:t>
      </w:r>
    </w:p>
    <w:p>
      <w:pPr>
        <w:spacing w:before="60" w:after="120" w:line="276" w:lineRule="auto"/>
        <w:ind w:left="454" w:hanging="227"/>
      </w:pPr>
      <w:r>
        <w:rPr>
          <w:sz w:val="20"/>
          <w:szCs w:val="20"/>
          <w:color w:val="1E293B"/>
        </w:rPr>
        <w:t xml:space="preserve">• Termination records showing return or destruction of PHI, with confirmation received</w:t>
      </w:r>
    </w:p>
    <w:p>
      <w:pPr>
        <w:spacing w:before="60" w:after="120" w:line="276" w:lineRule="auto"/>
        <w:ind w:left="454" w:hanging="227"/>
      </w:pPr>
      <w:r>
        <w:rPr>
          <w:sz w:val="20"/>
          <w:szCs w:val="20"/>
          <w:color w:val="1E293B"/>
        </w:rPr>
        <w:t xml:space="preserve">• Records of incidents reported by business associates and the response taken</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Reconcile the business associate register against accounts payable and the vendor list to find unregistered relationships</w:t>
      </w:r>
    </w:p>
    <w:p>
      <w:pPr>
        <w:spacing w:before="60" w:after="120" w:line="276" w:lineRule="auto"/>
        <w:ind w:left="454" w:hanging="227"/>
      </w:pPr>
      <w:r>
        <w:rPr>
          <w:sz w:val="20"/>
          <w:szCs w:val="20"/>
          <w:color w:val="1E293B"/>
        </w:rPr>
        <w:t xml:space="preserve">• Confirm a signed agreement exists for every counterparty with access to ePHI</w:t>
      </w:r>
    </w:p>
    <w:p>
      <w:pPr>
        <w:spacing w:before="60" w:after="120" w:line="276" w:lineRule="auto"/>
        <w:ind w:left="454" w:hanging="227"/>
      </w:pPr>
      <w:r>
        <w:rPr>
          <w:sz w:val="20"/>
          <w:szCs w:val="20"/>
          <w:color w:val="1E293B"/>
        </w:rPr>
        <w:t xml:space="preserve">• Check that agreement effective dates precede the start of ePHI disclosure</w:t>
      </w:r>
    </w:p>
    <w:p>
      <w:pPr>
        <w:spacing w:before="60" w:after="120" w:line="276" w:lineRule="auto"/>
        <w:ind w:left="454" w:hanging="227"/>
      </w:pPr>
      <w:r>
        <w:rPr>
          <w:sz w:val="20"/>
          <w:szCs w:val="20"/>
          <w:color w:val="1E293B"/>
        </w:rPr>
        <w:t xml:space="preserve">• Review agreement text for each required element, including subcontractor flow-down and incident reporting</w:t>
      </w:r>
    </w:p>
    <w:p>
      <w:pPr>
        <w:spacing w:before="60" w:after="120" w:line="276" w:lineRule="auto"/>
        <w:ind w:left="454" w:hanging="227"/>
      </w:pPr>
      <w:r>
        <w:rPr>
          <w:sz w:val="20"/>
          <w:szCs w:val="20"/>
          <w:color w:val="1E293B"/>
        </w:rPr>
        <w:t xml:space="preserve">• Sample cloud and IT vendors specifically, since these are most often misclassified as outside scope</w:t>
      </w:r>
    </w:p>
    <w:p>
      <w:pPr>
        <w:spacing w:before="60" w:after="120" w:line="276" w:lineRule="auto"/>
        <w:ind w:left="454" w:hanging="227"/>
      </w:pPr>
      <w:r>
        <w:rPr>
          <w:sz w:val="20"/>
          <w:szCs w:val="20"/>
          <w:color w:val="1E293B"/>
        </w:rPr>
        <w:t xml:space="preserve">• Confirm breach notification timelines are contractually specified rather than left to default</w:t>
      </w:r>
    </w:p>
    <w:p>
      <w:pPr>
        <w:spacing w:before="60" w:after="120" w:line="276" w:lineRule="auto"/>
        <w:ind w:left="454" w:hanging="227"/>
      </w:pPr>
      <w:r>
        <w:rPr>
          <w:sz w:val="20"/>
          <w:szCs w:val="20"/>
          <w:color w:val="1E293B"/>
        </w:rPr>
        <w:t xml:space="preserve">• Review due diligence evidence and test whether it is proportionate to the data held</w:t>
      </w:r>
    </w:p>
    <w:p>
      <w:pPr>
        <w:spacing w:before="60" w:after="120" w:line="276" w:lineRule="auto"/>
        <w:ind w:left="454" w:hanging="227"/>
      </w:pPr>
      <w:r>
        <w:rPr>
          <w:sz w:val="20"/>
          <w:szCs w:val="20"/>
          <w:color w:val="1E293B"/>
        </w:rPr>
        <w:t xml:space="preserve">• Confirm expiring agreements are tracked and renewed before lapse</w:t>
      </w:r>
    </w:p>
    <w:p>
      <w:pPr>
        <w:spacing w:before="60" w:after="120" w:line="276" w:lineRule="auto"/>
        <w:ind w:left="454" w:hanging="227"/>
      </w:pPr>
      <w:r>
        <w:rPr>
          <w:sz w:val="20"/>
          <w:szCs w:val="20"/>
          <w:color w:val="1E293B"/>
        </w:rPr>
        <w:t xml:space="preserve">• Sample terminated relationships and confirm PHI return or destruction was obtained in writing</w:t>
      </w:r>
    </w:p>
    <w:p>
      <w:pPr>
        <w:spacing w:before="60" w:after="120" w:line="276" w:lineRule="auto"/>
        <w:ind w:left="454" w:hanging="227"/>
      </w:pPr>
      <w:r>
        <w:rPr>
          <w:sz w:val="20"/>
          <w:szCs w:val="20"/>
          <w:color w:val="1E293B"/>
        </w:rPr>
        <w:t xml:space="preserve">• Trace a business-associate-reported incident through to your own documented response</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3.4.1</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Business Associate Contracts or Other Arrangements Policy Template</dc:title>
  <dc:subject>Policy and procedure template for 45 CFR 164.314(a)(1) — Business Associate Contracts or Other Arrangements</dc:subject>
  <dc:creator>HIPAA Auditors</dc:creator>
  <cp:lastModifiedBy>HIPAA Auditors</cp:lastModifiedBy>
  <dcterms:created xsi:type="dcterms:W3CDTF">2026-08-09T16:02:21+00:00</dcterms:created>
  <dcterms:modified xsi:type="dcterms:W3CDTF">2026-08-09T16:02:21+00:00</dcterms:modified>
</cp:coreProperties>
</file>