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before="0" w:after="120"/>
        <w:outlineLvl w:val="0"/>
      </w:pPr>
      <w:r>
        <w:rPr>
          <w:b/>
          <w:sz w:val="36"/>
          <w:szCs w:val="36"/>
          <w:color w:val="0F172A"/>
        </w:rPr>
        <w:t xml:space="preserve">Time Limit Policy Template</w:t>
      </w:r>
    </w:p>
    <w:p>
      <w:pPr>
        <w:spacing w:before="60" w:after="120" w:line="276" w:lineRule="auto"/>
      </w:pPr>
      <w:r>
        <w:rPr>
          <w:i/>
          <w:sz w:val="20"/>
          <w:szCs w:val="20"/>
          <w:color w:val="475569"/>
        </w:rPr>
        <w:t xml:space="preserve">Policy and procedure template for 45 CFR 164.316(b)(2) — Time Limit</w:t>
      </w:r>
    </w:p>
    <w:p>
      <w:pPr>
        <w:spacing w:before="60" w:after="120" w:line="276" w:lineRule="auto"/>
      </w:pPr>
      <w:r>
        <w:rPr>
          <w:sz w:val="16"/>
          <w:szCs w:val="16"/>
          <w:color w:val="64748b"/>
        </w:rPr>
        <w:t xml:space="preserve">HIPAA Auditors  |  info@hipaaauditors.com  |  https://hipaaauditors.com</w:t>
      </w:r>
    </w:p>
    <w:p>
      <w:pPr>
        <w:spacing w:before="60" w:after="120" w:line="276" w:lineRule="auto"/>
        <w:shd w:val="clear" w:color="auto" w:fill="FFFBEB"/>
      </w:pPr>
      <w:r>
        <w:rPr>
          <w:sz w:val="16"/>
          <w:szCs w:val="16"/>
          <w:color w:val="92400e"/>
        </w:rPr>
        <w:t xml:space="preserve">Replace every bracketed placeholder with your organisation's own detail, delete the guidance notes, then have this document reviewed and formally adopted before use. General information only, not legal advice.</w:t>
      </w:r>
    </w:p>
    <w:p>
      <w:pPr>
        <w:spacing w:before="240" w:after="120"/>
        <w:outlineLvl w:val="1"/>
      </w:pPr>
      <w:r>
        <w:rPr>
          <w:b/>
          <w:sz w:val="26"/>
          <w:szCs w:val="26"/>
          <w:color w:val="0EA5E9"/>
        </w:rPr>
        <w:t xml:space="preserve">1. Purpose</w:t>
      </w:r>
    </w:p>
    <w:p>
      <w:pPr>
        <w:spacing w:before="60" w:after="120" w:line="276" w:lineRule="auto"/>
      </w:pPr>
      <w:r>
        <w:rPr>
          <w:sz w:val="20"/>
          <w:szCs w:val="20"/>
          <w:color w:val="1E293B"/>
        </w:rPr>
        <w:t xml:space="preserve">This policy establishes how [org_name] satisfies the requirement at 45 CFR 164.316(b)(2) (Time Limit): Retain the documentation required by paragraph (b)(1) of this section for 6 years from the date of its creation or the date when it last was in effect, whichever is later.</w:t>
      </w:r>
    </w:p>
    <w:p>
      <w:pPr>
        <w:spacing w:before="240" w:after="120"/>
        <w:outlineLvl w:val="1"/>
      </w:pPr>
      <w:r>
        <w:rPr>
          <w:b/>
          <w:sz w:val="26"/>
          <w:szCs w:val="26"/>
          <w:color w:val="0EA5E9"/>
        </w:rPr>
        <w:t xml:space="preserve">2. Scope</w:t>
      </w:r>
    </w:p>
    <w:p>
      <w:pPr>
        <w:spacing w:before="60" w:after="120" w:line="276" w:lineRule="auto"/>
      </w:pPr>
      <w:r>
        <w:rPr>
          <w:sz w:val="20"/>
          <w:szCs w:val="20"/>
          <w:color w:val="1E293B"/>
        </w:rPr>
        <w:t xml:space="preserve">This policy applies to all workforce members of [org_name], including employees, contractors, volunteers and trainees, and to all systems, facilities and media that create, receive, maintain or transmit electronic protected health information.</w:t>
      </w:r>
    </w:p>
    <w:p>
      <w:pPr>
        <w:spacing w:before="240" w:after="120"/>
        <w:outlineLvl w:val="1"/>
      </w:pPr>
      <w:r>
        <w:rPr>
          <w:b/>
          <w:sz w:val="26"/>
          <w:szCs w:val="26"/>
          <w:color w:val="0EA5E9"/>
        </w:rPr>
        <w:t xml:space="preserve">3. Responsibility</w:t>
      </w:r>
    </w:p>
    <w:p>
      <w:pPr>
        <w:spacing w:before="60" w:after="120" w:line="276" w:lineRule="auto"/>
      </w:pPr>
      <w:r>
        <w:rPr>
          <w:sz w:val="20"/>
          <w:szCs w:val="20"/>
          <w:color w:val="1E293B"/>
        </w:rPr>
        <w:t xml:space="preserve">The Security Officer, [security_officer] ([security_email]), owns this policy and is accountable for its implementation, review and enforcement. Day-to-day operation is delegated to [control_owner].</w:t>
      </w:r>
    </w:p>
    <w:p>
      <w:pPr>
        <w:spacing w:before="240" w:after="120"/>
        <w:outlineLvl w:val="1"/>
      </w:pPr>
      <w:r>
        <w:rPr>
          <w:b/>
          <w:sz w:val="26"/>
          <w:szCs w:val="26"/>
          <w:color w:val="0EA5E9"/>
        </w:rPr>
        <w:t xml:space="preserve">4. Policy</w:t>
      </w:r>
    </w:p>
    <w:p>
      <w:pPr>
        <w:spacing w:before="60" w:after="120" w:line="276" w:lineRule="auto"/>
      </w:pPr>
      <w:r>
        <w:rPr>
          <w:sz w:val="20"/>
          <w:szCs w:val="20"/>
          <w:color w:val="1E293B"/>
        </w:rPr>
        <w:t xml:space="preserve">[org_name] will:</w:t>
      </w:r>
    </w:p>
    <w:p>
      <w:pPr>
        <w:spacing w:before="60" w:after="120" w:line="276" w:lineRule="auto"/>
        <w:ind w:left="454" w:hanging="227"/>
      </w:pPr>
      <w:r>
        <w:rPr>
          <w:sz w:val="20"/>
          <w:szCs w:val="20"/>
          <w:color w:val="1E293B"/>
        </w:rPr>
        <w:t xml:space="preserve">• Retain the documentation required by 164.316(b)(1) for six years from the date of its creation or the date when it last was in effect, whichever is later. Make it available to those responsible for implementing the procedures, and review it periodically, updating as needed in response to environmental or operational changes affecting the security of ePHI.</w:t>
      </w:r>
    </w:p>
    <w:p>
      <w:pPr>
        <w:spacing w:before="60" w:after="120" w:line="276" w:lineRule="auto"/>
        <w:ind w:left="454" w:hanging="227"/>
      </w:pPr>
      <w:r>
        <w:rPr>
          <w:sz w:val="20"/>
          <w:szCs w:val="20"/>
          <w:color w:val="1E293B"/>
        </w:rPr>
        <w:t xml:space="preserve">• The "whichever is later" clause is regularly misread. A policy in force for eight years must be retained for six years after it ceases to be in effect — fourteen years from creation in total. Retention schedules built on creation date alone delete evidence that is still required.</w:t>
      </w:r>
    </w:p>
    <w:p>
      <w:pPr>
        <w:spacing w:before="60" w:after="120" w:line="276" w:lineRule="auto"/>
        <w:ind w:left="454" w:hanging="227"/>
      </w:pPr>
      <w:r>
        <w:rPr>
          <w:sz w:val="20"/>
          <w:szCs w:val="20"/>
          <w:color w:val="1E293B"/>
        </w:rPr>
        <w:t xml:space="preserve">• Note also that this six-year period is a federal floor, not a ceiling. State law, professional licensure requirements and medical record retention rules frequently demand longer, and the longest applicable period governs. HIPAA sets no medical record retention period at all; that is a matter of state law, and conflating the two is a common error.</w:t>
      </w:r>
    </w:p>
    <w:p>
      <w:pPr>
        <w:spacing w:before="60" w:after="120" w:line="276" w:lineRule="auto"/>
        <w:ind w:left="454" w:hanging="227"/>
      </w:pPr>
      <w:r>
        <w:rPr>
          <w:sz w:val="20"/>
          <w:szCs w:val="20"/>
          <w:color w:val="1E293B"/>
        </w:rPr>
        <w:t xml:space="preserve">• Implementation approach:.</w:t>
      </w:r>
    </w:p>
    <w:p>
      <w:pPr>
        <w:spacing w:before="60" w:after="120" w:line="276" w:lineRule="auto"/>
        <w:ind w:left="454" w:hanging="227"/>
      </w:pPr>
      <w:r>
        <w:rPr>
          <w:sz w:val="20"/>
          <w:szCs w:val="20"/>
          <w:color w:val="1E293B"/>
        </w:rPr>
        <w:t xml:space="preserve">• Build a retention schedule covering every documentation type, with the retention trigger stated.</w:t>
      </w:r>
    </w:p>
    <w:p>
      <w:pPr>
        <w:spacing w:before="60" w:after="120" w:line="276" w:lineRule="auto"/>
        <w:ind w:left="454" w:hanging="227"/>
      </w:pPr>
      <w:r>
        <w:rPr>
          <w:sz w:val="20"/>
          <w:szCs w:val="20"/>
          <w:color w:val="1E293B"/>
        </w:rPr>
        <w:t xml:space="preserve">• Compute retention from the later of creation or last effective date, and record both.</w:t>
      </w:r>
    </w:p>
    <w:p>
      <w:pPr>
        <w:spacing w:before="60" w:after="120" w:line="276" w:lineRule="auto"/>
        <w:ind w:left="454" w:hanging="227"/>
      </w:pPr>
      <w:r>
        <w:rPr>
          <w:sz w:val="20"/>
          <w:szCs w:val="20"/>
          <w:color w:val="1E293B"/>
        </w:rPr>
        <w:t xml:space="preserve">• Retain superseded policy versions for six years after they cease to apply.</w:t>
      </w:r>
    </w:p>
    <w:p>
      <w:pPr>
        <w:spacing w:before="60" w:after="120" w:line="276" w:lineRule="auto"/>
        <w:ind w:left="454" w:hanging="227"/>
      </w:pPr>
      <w:r>
        <w:rPr>
          <w:sz w:val="20"/>
          <w:szCs w:val="20"/>
          <w:color w:val="1E293B"/>
        </w:rPr>
        <w:t xml:space="preserve">• Suspend disposal on litigation hold or regulatory inquiry, and document the suspension.</w:t>
      </w:r>
    </w:p>
    <w:p>
      <w:pPr>
        <w:spacing w:before="60" w:after="120" w:line="276" w:lineRule="auto"/>
        <w:ind w:left="454" w:hanging="227"/>
      </w:pPr>
      <w:r>
        <w:rPr>
          <w:sz w:val="20"/>
          <w:szCs w:val="20"/>
          <w:color w:val="1E293B"/>
        </w:rPr>
        <w:t xml:space="preserve">• Prevent premature deletion technically, not only by policy — retention locks or immutable storage.</w:t>
      </w:r>
    </w:p>
    <w:p>
      <w:pPr>
        <w:spacing w:before="60" w:after="120" w:line="276" w:lineRule="auto"/>
        <w:ind w:left="454" w:hanging="227"/>
      </w:pPr>
      <w:r>
        <w:rPr>
          <w:sz w:val="20"/>
          <w:szCs w:val="20"/>
          <w:color w:val="1E293B"/>
        </w:rPr>
        <w:t xml:space="preserve">• Preserve readability across format and system changes; six-year-old evidence must still open.</w:t>
      </w:r>
    </w:p>
    <w:p>
      <w:pPr>
        <w:spacing w:before="60" w:after="120" w:line="276" w:lineRule="auto"/>
        <w:ind w:left="454" w:hanging="227"/>
      </w:pPr>
      <w:r>
        <w:rPr>
          <w:sz w:val="20"/>
          <w:szCs w:val="20"/>
          <w:color w:val="1E293B"/>
        </w:rPr>
        <w:t xml:space="preserve">• Assign a documentation owner responsible for the schedule.</w:t>
      </w:r>
    </w:p>
    <w:p>
      <w:pPr>
        <w:spacing w:before="60" w:after="120" w:line="276" w:lineRule="auto"/>
        <w:ind w:left="454" w:hanging="227"/>
      </w:pPr>
      <w:r>
        <w:rPr>
          <w:sz w:val="20"/>
          <w:szCs w:val="20"/>
          <w:color w:val="1E293B"/>
        </w:rPr>
        <w:t xml:space="preserve">• Reconcile against state and professional requirements and apply the longest period.</w:t>
      </w:r>
    </w:p>
    <w:p>
      <w:pPr>
        <w:spacing w:before="60" w:after="120" w:line="276" w:lineRule="auto"/>
        <w:ind w:left="454" w:hanging="227"/>
      </w:pPr>
      <w:r>
        <w:rPr>
          <w:sz w:val="20"/>
          <w:szCs w:val="20"/>
          <w:color w:val="1E293B"/>
        </w:rPr>
        <w:t xml:space="preserve">• Dispose securely at end of life, and record what was destroyed and when.</w:t>
      </w:r>
    </w:p>
    <w:p>
      <w:pPr>
        <w:spacing w:before="60" w:after="120" w:line="276" w:lineRule="auto"/>
        <w:ind w:left="454" w:hanging="227"/>
      </w:pPr>
      <w:r>
        <w:rPr>
          <w:sz w:val="20"/>
          <w:szCs w:val="20"/>
          <w:color w:val="1E293B"/>
        </w:rPr>
        <w:t xml:space="preserve">• Review the schedule annually alongside the policy review cycle.</w:t>
      </w:r>
    </w:p>
    <w:p>
      <w:pPr>
        <w:spacing w:before="240" w:after="120"/>
        <w:outlineLvl w:val="1"/>
      </w:pPr>
      <w:r>
        <w:rPr>
          <w:b/>
          <w:sz w:val="26"/>
          <w:szCs w:val="26"/>
          <w:color w:val="0EA5E9"/>
        </w:rPr>
        <w:t xml:space="preserve">5. Procedure</w:t>
      </w:r>
    </w:p>
    <w:p>
      <w:pPr>
        <w:spacing w:before="60" w:after="120" w:line="276" w:lineRule="auto"/>
      </w:pPr>
      <w:r>
        <w:rPr>
          <w:sz w:val="20"/>
          <w:szCs w:val="20"/>
          <w:color w:val="1E293B"/>
        </w:rPr>
        <w:t xml:space="preserve">Describe the steps your organisation actually follows, who performs each one, and how often. Replace this paragraph with that detail — a policy that states an intention without a procedure is a common audit finding.</w:t>
      </w:r>
    </w:p>
    <w:p>
      <w:pPr>
        <w:spacing w:before="60" w:after="120" w:line="276" w:lineRule="auto"/>
      </w:pPr>
      <w:r>
        <w:rPr>
          <w:sz w:val="20"/>
          <w:szCs w:val="20"/>
          <w:color w:val="1E293B"/>
        </w:rPr>
        <w:t xml:space="preserve">[Insert procedure: trigger, steps, responsible role, frequency, records produced.]</w:t>
      </w:r>
    </w:p>
    <w:p>
      <w:pPr>
        <w:spacing w:before="240" w:after="120"/>
        <w:outlineLvl w:val="1"/>
      </w:pPr>
      <w:r>
        <w:rPr>
          <w:b/>
          <w:sz w:val="26"/>
          <w:szCs w:val="26"/>
          <w:color w:val="0EA5E9"/>
        </w:rPr>
        <w:t xml:space="preserve">6. Records and retention</w:t>
      </w:r>
    </w:p>
    <w:p>
      <w:pPr>
        <w:spacing w:before="60" w:after="120" w:line="276" w:lineRule="auto"/>
      </w:pPr>
      <w:r>
        <w:rPr>
          <w:sz w:val="20"/>
          <w:szCs w:val="20"/>
          <w:color w:val="1E293B"/>
        </w:rPr>
        <w:t xml:space="preserve">The following records evidence this control and are retained for a minimum of six years from the later of the date of creation or the date last in effect, per 45 CFR 164.316(b)(2):</w:t>
      </w:r>
    </w:p>
    <w:p>
      <w:pPr>
        <w:spacing w:before="60" w:after="120" w:line="276" w:lineRule="auto"/>
        <w:ind w:left="454" w:hanging="227"/>
      </w:pPr>
      <w:r>
        <w:rPr>
          <w:sz w:val="20"/>
          <w:szCs w:val="20"/>
          <w:color w:val="1E293B"/>
        </w:rPr>
        <w:t xml:space="preserve">• Retention schedule covering every documentation type and its retention trigger</w:t>
      </w:r>
    </w:p>
    <w:p>
      <w:pPr>
        <w:spacing w:before="60" w:after="120" w:line="276" w:lineRule="auto"/>
        <w:ind w:left="454" w:hanging="227"/>
      </w:pPr>
      <w:r>
        <w:rPr>
          <w:sz w:val="20"/>
          <w:szCs w:val="20"/>
          <w:color w:val="1E293B"/>
        </w:rPr>
        <w:t xml:space="preserve">• Records showing both creation date and last-effective date for each policy version</w:t>
      </w:r>
    </w:p>
    <w:p>
      <w:pPr>
        <w:spacing w:before="60" w:after="120" w:line="276" w:lineRule="auto"/>
        <w:ind w:left="454" w:hanging="227"/>
      </w:pPr>
      <w:r>
        <w:rPr>
          <w:sz w:val="20"/>
          <w:szCs w:val="20"/>
          <w:color w:val="1E293B"/>
        </w:rPr>
        <w:t xml:space="preserve">• Superseded policy and procedure versions within their retention window</w:t>
      </w:r>
    </w:p>
    <w:p>
      <w:pPr>
        <w:spacing w:before="60" w:after="120" w:line="276" w:lineRule="auto"/>
        <w:ind w:left="454" w:hanging="227"/>
      </w:pPr>
      <w:r>
        <w:rPr>
          <w:sz w:val="20"/>
          <w:szCs w:val="20"/>
          <w:color w:val="1E293B"/>
        </w:rPr>
        <w:t xml:space="preserve">• Retention configuration evidence, such as retention locks or immutable storage settings</w:t>
      </w:r>
    </w:p>
    <w:p>
      <w:pPr>
        <w:spacing w:before="60" w:after="120" w:line="276" w:lineRule="auto"/>
        <w:ind w:left="454" w:hanging="227"/>
      </w:pPr>
      <w:r>
        <w:rPr>
          <w:sz w:val="20"/>
          <w:szCs w:val="20"/>
          <w:color w:val="1E293B"/>
        </w:rPr>
        <w:t xml:space="preserve">• Legal hold and inquiry suspension records</w:t>
      </w:r>
    </w:p>
    <w:p>
      <w:pPr>
        <w:spacing w:before="60" w:after="120" w:line="276" w:lineRule="auto"/>
        <w:ind w:left="454" w:hanging="227"/>
      </w:pPr>
      <w:r>
        <w:rPr>
          <w:sz w:val="20"/>
          <w:szCs w:val="20"/>
          <w:color w:val="1E293B"/>
        </w:rPr>
        <w:t xml:space="preserve">• Format migration records demonstrating continued readability</w:t>
      </w:r>
    </w:p>
    <w:p>
      <w:pPr>
        <w:spacing w:before="60" w:after="120" w:line="276" w:lineRule="auto"/>
        <w:ind w:left="454" w:hanging="227"/>
      </w:pPr>
      <w:r>
        <w:rPr>
          <w:sz w:val="20"/>
          <w:szCs w:val="20"/>
          <w:color w:val="1E293B"/>
        </w:rPr>
        <w:t xml:space="preserve">• Secure disposal certificates and destruction logs</w:t>
      </w:r>
    </w:p>
    <w:p>
      <w:pPr>
        <w:spacing w:before="60" w:after="120" w:line="276" w:lineRule="auto"/>
        <w:ind w:left="454" w:hanging="227"/>
      </w:pPr>
      <w:r>
        <w:rPr>
          <w:sz w:val="20"/>
          <w:szCs w:val="20"/>
          <w:color w:val="1E293B"/>
        </w:rPr>
        <w:t xml:space="preserve">• Analysis reconciling HIPAA retention with state and professional requirements</w:t>
      </w:r>
    </w:p>
    <w:p>
      <w:pPr>
        <w:spacing w:before="60" w:after="120" w:line="276" w:lineRule="auto"/>
        <w:ind w:left="454" w:hanging="227"/>
      </w:pPr>
      <w:r>
        <w:rPr>
          <w:sz w:val="20"/>
          <w:szCs w:val="20"/>
          <w:color w:val="1E293B"/>
        </w:rPr>
        <w:t xml:space="preserve">• Annual retention schedule review records</w:t>
      </w:r>
    </w:p>
    <w:p>
      <w:pPr>
        <w:spacing w:before="60" w:after="120" w:line="276" w:lineRule="auto"/>
        <w:ind w:left="454" w:hanging="227"/>
      </w:pPr>
      <w:r>
        <w:rPr>
          <w:sz w:val="20"/>
          <w:szCs w:val="20"/>
          <w:color w:val="1E293B"/>
        </w:rPr>
        <w:t xml:space="preserve">• Named documentation owner and their responsibilities</w:t>
      </w:r>
    </w:p>
    <w:p>
      <w:pPr>
        <w:spacing w:before="240" w:after="120"/>
        <w:outlineLvl w:val="1"/>
      </w:pPr>
      <w:r>
        <w:rPr>
          <w:b/>
          <w:sz w:val="26"/>
          <w:szCs w:val="26"/>
          <w:color w:val="0EA5E9"/>
        </w:rPr>
        <w:t xml:space="preserve">7. Monitoring and testing</w:t>
      </w:r>
    </w:p>
    <w:p>
      <w:pPr>
        <w:spacing w:before="60" w:after="120" w:line="276" w:lineRule="auto"/>
      </w:pPr>
      <w:r>
        <w:rPr>
          <w:sz w:val="20"/>
          <w:szCs w:val="20"/>
          <w:color w:val="1E293B"/>
        </w:rPr>
        <w:t xml:space="preserve">Effectiveness is verified at least annually, and after any material change, by:</w:t>
      </w:r>
    </w:p>
    <w:p>
      <w:pPr>
        <w:spacing w:before="60" w:after="120" w:line="276" w:lineRule="auto"/>
        <w:ind w:left="454" w:hanging="227"/>
      </w:pPr>
      <w:r>
        <w:rPr>
          <w:sz w:val="20"/>
          <w:szCs w:val="20"/>
          <w:color w:val="1E293B"/>
        </w:rPr>
        <w:t xml:space="preserve">• Review the retention schedule and confirm it computes from the later of creation or last effective date</w:t>
      </w:r>
    </w:p>
    <w:p>
      <w:pPr>
        <w:spacing w:before="60" w:after="120" w:line="276" w:lineRule="auto"/>
        <w:ind w:left="454" w:hanging="227"/>
      </w:pPr>
      <w:r>
        <w:rPr>
          <w:sz w:val="20"/>
          <w:szCs w:val="20"/>
          <w:color w:val="1E293B"/>
        </w:rPr>
        <w:t xml:space="preserve">• Retrieve a document from the earliest retained period and confirm it opens and is legible</w:t>
      </w:r>
    </w:p>
    <w:p>
      <w:pPr>
        <w:spacing w:before="60" w:after="120" w:line="276" w:lineRule="auto"/>
        <w:ind w:left="454" w:hanging="227"/>
      </w:pPr>
      <w:r>
        <w:rPr>
          <w:sz w:val="20"/>
          <w:szCs w:val="20"/>
          <w:color w:val="1E293B"/>
        </w:rPr>
        <w:t xml:space="preserve">• Confirm superseded policy versions are retained with their effective and end dates recorded</w:t>
      </w:r>
    </w:p>
    <w:p>
      <w:pPr>
        <w:spacing w:before="60" w:after="120" w:line="276" w:lineRule="auto"/>
        <w:ind w:left="454" w:hanging="227"/>
      </w:pPr>
      <w:r>
        <w:rPr>
          <w:sz w:val="20"/>
          <w:szCs w:val="20"/>
          <w:color w:val="1E293B"/>
        </w:rPr>
        <w:t xml:space="preserve">• Attempt to delete a record within its retention window and confirm prevention</w:t>
      </w:r>
    </w:p>
    <w:p>
      <w:pPr>
        <w:spacing w:before="60" w:after="120" w:line="276" w:lineRule="auto"/>
        <w:ind w:left="454" w:hanging="227"/>
      </w:pPr>
      <w:r>
        <w:rPr>
          <w:sz w:val="20"/>
          <w:szCs w:val="20"/>
          <w:color w:val="1E293B"/>
        </w:rPr>
        <w:t xml:space="preserve">• Verify legal hold suspends disposal, and that suspensions are documented</w:t>
      </w:r>
    </w:p>
    <w:p>
      <w:pPr>
        <w:spacing w:before="60" w:after="120" w:line="276" w:lineRule="auto"/>
        <w:ind w:left="454" w:hanging="227"/>
      </w:pPr>
      <w:r>
        <w:rPr>
          <w:sz w:val="20"/>
          <w:szCs w:val="20"/>
          <w:color w:val="1E293B"/>
        </w:rPr>
        <w:t xml:space="preserve">• Sample disposal records and confirm items were genuinely eligible for destruction</w:t>
      </w:r>
    </w:p>
    <w:p>
      <w:pPr>
        <w:spacing w:before="60" w:after="120" w:line="276" w:lineRule="auto"/>
        <w:ind w:left="454" w:hanging="227"/>
      </w:pPr>
      <w:r>
        <w:rPr>
          <w:sz w:val="20"/>
          <w:szCs w:val="20"/>
          <w:color w:val="1E293B"/>
        </w:rPr>
        <w:t xml:space="preserve">• Confirm destruction certificates exist for disposed records</w:t>
      </w:r>
    </w:p>
    <w:p>
      <w:pPr>
        <w:spacing w:before="60" w:after="120" w:line="276" w:lineRule="auto"/>
        <w:ind w:left="454" w:hanging="227"/>
      </w:pPr>
      <w:r>
        <w:rPr>
          <w:sz w:val="20"/>
          <w:szCs w:val="20"/>
          <w:color w:val="1E293B"/>
        </w:rPr>
        <w:t xml:space="preserve">• Check the schedule against applicable state retention requirements</w:t>
      </w:r>
    </w:p>
    <w:p>
      <w:pPr>
        <w:spacing w:before="60" w:after="120" w:line="276" w:lineRule="auto"/>
        <w:ind w:left="454" w:hanging="227"/>
      </w:pPr>
      <w:r>
        <w:rPr>
          <w:sz w:val="20"/>
          <w:szCs w:val="20"/>
          <w:color w:val="1E293B"/>
        </w:rPr>
        <w:t xml:space="preserve">• Confirm the schedule has been reviewed within the last year</w:t>
      </w:r>
    </w:p>
    <w:p>
      <w:pPr>
        <w:spacing w:before="60" w:after="120" w:line="276" w:lineRule="auto"/>
        <w:ind w:left="454" w:hanging="227"/>
      </w:pPr>
      <w:r>
        <w:rPr>
          <w:sz w:val="20"/>
          <w:szCs w:val="20"/>
          <w:color w:val="1E293B"/>
        </w:rPr>
        <w:t xml:space="preserve">• Verify a named owner is accountable for retention</w:t>
      </w:r>
    </w:p>
    <w:p>
      <w:pPr>
        <w:spacing w:before="240" w:after="120"/>
        <w:outlineLvl w:val="1"/>
      </w:pPr>
      <w:r>
        <w:rPr>
          <w:b/>
          <w:sz w:val="26"/>
          <w:szCs w:val="26"/>
          <w:color w:val="0EA5E9"/>
        </w:rPr>
        <w:t xml:space="preserve">8. Enforcement</w:t>
      </w:r>
    </w:p>
    <w:p>
      <w:pPr>
        <w:spacing w:before="60" w:after="120" w:line="276" w:lineRule="auto"/>
      </w:pPr>
      <w:r>
        <w:rPr>
          <w:sz w:val="20"/>
          <w:szCs w:val="20"/>
          <w:color w:val="1E293B"/>
        </w:rPr>
        <w:t xml:space="preserve">Failure to comply is addressed under the sanction policy required by 45 CFR 164.308(a)(1)(ii)(C), up to and including termination of employment or contract.</w:t>
      </w:r>
    </w:p>
    <w:p>
      <w:pPr>
        <w:spacing w:before="240" w:after="120"/>
        <w:outlineLvl w:val="1"/>
      </w:pPr>
      <w:r>
        <w:rPr>
          <w:b/>
          <w:sz w:val="26"/>
          <w:szCs w:val="26"/>
          <w:color w:val="0EA5E9"/>
        </w:rPr>
        <w:t xml:space="preserve">9. Review</w:t>
      </w:r>
    </w:p>
    <w:p>
      <w:pPr>
        <w:spacing w:before="60" w:after="120" w:line="276" w:lineRule="auto"/>
      </w:pPr>
      <w:r>
        <w:rPr>
          <w:sz w:val="20"/>
          <w:szCs w:val="20"/>
          <w:color w:val="1E293B"/>
        </w:rPr>
        <w:t xml:space="preserve">This policy is reviewed at least annually by the Security Officer, and whenever a change in operations, technology or regulation affects it.</w:t>
      </w:r>
    </w:p>
    <w:p>
      <w:pPr>
        <w:spacing w:before="240" w:after="120"/>
        <w:outlineLvl w:val="1"/>
      </w:pPr>
      <w:r>
        <w:rPr>
          <w:b/>
          <w:sz w:val="26"/>
          <w:szCs w:val="26"/>
          <w:color w:val="0EA5E9"/>
        </w:rPr>
        <w:t xml:space="preserve">10. Adoption</w:t>
      </w:r>
    </w:p>
    <w:p>
      <w:pPr>
        <w:spacing w:before="60" w:after="120" w:line="276" w:lineRule="auto"/>
      </w:pPr>
      <w:r>
        <w:rPr>
          <w:sz w:val="20"/>
          <w:szCs w:val="20"/>
          <w:color w:val="1E293B"/>
        </w:rPr>
        <w:t xml:space="preserve">Adopted by: [approver_name], [approver_title]. Effective date: [effective_date]. Version: [version]. Next review due: [review_date].</w:t>
      </w:r>
    </w:p>
    <w:p>
      <w:pPr>
        <w:spacing w:before="240" w:after="120"/>
        <w:outlineLvl w:val="1"/>
      </w:pPr>
      <w:r>
        <w:rPr>
          <w:b/>
          <w:sz w:val="26"/>
          <w:szCs w:val="26"/>
          <w:color w:val="0EA5E9"/>
        </w:rPr>
        <w:t xml:space="preserve">Related guidance</w:t>
      </w:r>
    </w:p>
    <w:p>
      <w:pPr>
        <w:spacing w:before="60" w:after="120" w:line="276" w:lineRule="auto"/>
      </w:pPr>
      <w:r>
        <w:rPr>
          <w:sz w:val="20"/>
          <w:szCs w:val="20"/>
          <w:color w:val="1E293B"/>
        </w:rPr>
        <w:t xml:space="preserve">NIST SP 800-66 Rev. 2: Section 3.5.3</w:t>
      </w:r>
    </w:p>
    <w:p>
      <w:pPr>
        <w:spacing w:before="60" w:after="120" w:line="276" w:lineRule="auto"/>
      </w:pPr>
      <w:r>
        <w:rPr>
          <w:sz w:val="15"/>
          <w:szCs w:val="15"/>
          <w:color w:val="94a3b8"/>
        </w:rPr>
        <w:t xml:space="preserve">(c) 2026 HIPAA Auditors. Issued 9 August 2026.</w:t>
      </w:r>
    </w:p>
    <w:sectPr>
      <w:pgSz w:w="11906" w:h="16838"/>
      <w:pgMar w:top="1134" w:right="1134" w:bottom="1134" w:left="1134" w:header="709" w:footer="709"/>
    </w:sectPr>
  </w:body>
</w:document>
</file>

<file path=docProps/core.xml><?xml version="1.0" encoding="utf-8"?>
<cp:coreProperties xmlns:cp="http://schemas.openxmlformats.org/package/2006/metadata/core-properties" xmlns:dc="http://purl.org/dc/elements/1.1/" xmlns:dcterms="http://purl.org/dc/terms/" xmlns:xsi="http://www.w3.org/2001/XMLSchema-instance">
  <dc:title>Time Limit Policy Template</dc:title>
  <dc:subject>Policy and procedure template for 45 CFR 164.316(b)(2) — Time Limit</dc:subject>
  <dc:creator>HIPAA Auditors</dc:creator>
  <cp:lastModifiedBy>HIPAA Auditors</cp:lastModifiedBy>
  <dcterms:created xsi:type="dcterms:W3CDTF">2026-08-09T16:02:21+00:00</dcterms:created>
  <dcterms:modified xsi:type="dcterms:W3CDTF">2026-08-09T16:02:21+00:00</dcterms:modified>
</cp:coreProperties>
</file>