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w:body>
    <w:p>
      <w:pPr>
        <w:spacing w:before="0" w:after="120"/>
        <w:outlineLvl w:val="0"/>
      </w:pPr>
      <w:r>
        <w:rPr>
          <w:b/>
          <w:sz w:val="36"/>
          <w:szCs w:val="36"/>
          <w:color w:val="0F172A"/>
        </w:rPr>
        <w:t xml:space="preserve">Integrity Policy Template</w:t>
      </w:r>
    </w:p>
    <w:p>
      <w:pPr>
        <w:spacing w:before="60" w:after="120" w:line="276" w:lineRule="auto"/>
      </w:pPr>
      <w:r>
        <w:rPr>
          <w:i/>
          <w:sz w:val="20"/>
          <w:szCs w:val="20"/>
          <w:color w:val="475569"/>
        </w:rPr>
        <w:t xml:space="preserve">Policy and procedure template for 45 CFR 164.312(c)(1) — Integrity</w:t>
      </w:r>
    </w:p>
    <w:p>
      <w:pPr>
        <w:spacing w:before="60" w:after="120" w:line="276" w:lineRule="auto"/>
      </w:pPr>
      <w:r>
        <w:rPr>
          <w:sz w:val="16"/>
          <w:szCs w:val="16"/>
          <w:color w:val="64748b"/>
        </w:rPr>
        <w:t xml:space="preserve">HIPAA Auditors  |  info@hipaaauditors.com  |  https://hipaaauditors.com</w:t>
      </w:r>
    </w:p>
    <w:p>
      <w:pPr>
        <w:spacing w:before="60" w:after="120" w:line="276" w:lineRule="auto"/>
        <w:shd w:val="clear" w:color="auto" w:fill="FFFBEB"/>
      </w:pPr>
      <w:r>
        <w:rPr>
          <w:sz w:val="16"/>
          <w:szCs w:val="16"/>
          <w:color w:val="92400e"/>
        </w:rPr>
        <w:t xml:space="preserve">Replace every bracketed placeholder with your organisation's own detail, delete the guidance notes, then have this document reviewed and formally adopted before use. General information only, not legal advice.</w:t>
      </w:r>
    </w:p>
    <w:p>
      <w:pPr>
        <w:spacing w:before="240" w:after="120"/>
        <w:outlineLvl w:val="1"/>
      </w:pPr>
      <w:r>
        <w:rPr>
          <w:b/>
          <w:sz w:val="26"/>
          <w:szCs w:val="26"/>
          <w:color w:val="0EA5E9"/>
        </w:rPr>
        <w:t xml:space="preserve">1. Purpose</w:t>
      </w:r>
    </w:p>
    <w:p>
      <w:pPr>
        <w:spacing w:before="60" w:after="120" w:line="276" w:lineRule="auto"/>
      </w:pPr>
      <w:r>
        <w:rPr>
          <w:sz w:val="20"/>
          <w:szCs w:val="20"/>
          <w:color w:val="1E293B"/>
        </w:rPr>
        <w:t xml:space="preserve">This policy establishes how [org_name] satisfies the requirement at 45 CFR 164.312(c)(1) (Integrity): Implement policies and procedures to protect ePHI from improper alteration or destruction.</w:t>
      </w:r>
    </w:p>
    <w:p>
      <w:pPr>
        <w:spacing w:before="240" w:after="120"/>
        <w:outlineLvl w:val="1"/>
      </w:pPr>
      <w:r>
        <w:rPr>
          <w:b/>
          <w:sz w:val="26"/>
          <w:szCs w:val="26"/>
          <w:color w:val="0EA5E9"/>
        </w:rPr>
        <w:t xml:space="preserve">2. Scope</w:t>
      </w:r>
    </w:p>
    <w:p>
      <w:pPr>
        <w:spacing w:before="60" w:after="120" w:line="276" w:lineRule="auto"/>
      </w:pPr>
      <w:r>
        <w:rPr>
          <w:sz w:val="20"/>
          <w:szCs w:val="20"/>
          <w:color w:val="1E293B"/>
        </w:rPr>
        <w:t xml:space="preserve">This policy applies to all workforce members of [org_name], including employees, contractors, volunteers and trainees, and to all systems, facilities and media that create, receive, maintain or transmit electronic protected health information.</w:t>
      </w:r>
    </w:p>
    <w:p>
      <w:pPr>
        <w:spacing w:before="240" w:after="120"/>
        <w:outlineLvl w:val="1"/>
      </w:pPr>
      <w:r>
        <w:rPr>
          <w:b/>
          <w:sz w:val="26"/>
          <w:szCs w:val="26"/>
          <w:color w:val="0EA5E9"/>
        </w:rPr>
        <w:t xml:space="preserve">3. Responsibility</w:t>
      </w:r>
    </w:p>
    <w:p>
      <w:pPr>
        <w:spacing w:before="60" w:after="120" w:line="276" w:lineRule="auto"/>
      </w:pPr>
      <w:r>
        <w:rPr>
          <w:sz w:val="20"/>
          <w:szCs w:val="20"/>
          <w:color w:val="1E293B"/>
        </w:rPr>
        <w:t xml:space="preserve">The Security Officer, [security_officer] ([security_email]), owns this policy and is accountable for its implementation, review and enforcement. Day-to-day operation is delegated to [control_owner].</w:t>
      </w:r>
    </w:p>
    <w:p>
      <w:pPr>
        <w:spacing w:before="240" w:after="120"/>
        <w:outlineLvl w:val="1"/>
      </w:pPr>
      <w:r>
        <w:rPr>
          <w:b/>
          <w:sz w:val="26"/>
          <w:szCs w:val="26"/>
          <w:color w:val="0EA5E9"/>
        </w:rPr>
        <w:t xml:space="preserve">4. Policy</w:t>
      </w:r>
    </w:p>
    <w:p>
      <w:pPr>
        <w:spacing w:before="60" w:after="120" w:line="276" w:lineRule="auto"/>
      </w:pPr>
      <w:r>
        <w:rPr>
          <w:sz w:val="20"/>
          <w:szCs w:val="20"/>
          <w:color w:val="1E293B"/>
        </w:rPr>
        <w:t xml:space="preserve">[org_name] will:</w:t>
      </w:r>
    </w:p>
    <w:p>
      <w:pPr>
        <w:spacing w:before="60" w:after="120" w:line="276" w:lineRule="auto"/>
        <w:ind w:left="454" w:hanging="227"/>
      </w:pPr>
      <w:r>
        <w:rPr>
          <w:sz w:val="20"/>
          <w:szCs w:val="20"/>
          <w:color w:val="1E293B"/>
        </w:rPr>
        <w:t xml:space="preserve">• Implement policies and procedures to protect ePHI from improper alteration or destruction. The standard at 164.312(c)(1) is supported by one addressable specification, the mechanism to authenticate ePHI at 164.312(c)(2), which asks for electronic means to corroborate that data has not been altered or destroyed without authorisation.</w:t>
      </w:r>
    </w:p>
    <w:p>
      <w:pPr>
        <w:spacing w:before="60" w:after="120" w:line="276" w:lineRule="auto"/>
        <w:ind w:left="454" w:hanging="227"/>
      </w:pPr>
      <w:r>
        <w:rPr>
          <w:sz w:val="20"/>
          <w:szCs w:val="20"/>
          <w:color w:val="1E293B"/>
        </w:rPr>
        <w:t xml:space="preserve">• Integrity failures are less visible than confidentiality failures and often more dangerous clinically: a silently altered allergy record or medication dose can cause direct patient harm, and ransomware that encrypts or corrupts records is an integrity and availability event as much as a confidentiality one.</w:t>
      </w:r>
    </w:p>
    <w:p>
      <w:pPr>
        <w:spacing w:before="60" w:after="120" w:line="276" w:lineRule="auto"/>
        <w:ind w:left="454" w:hanging="227"/>
      </w:pPr>
      <w:r>
        <w:rPr>
          <w:sz w:val="20"/>
          <w:szCs w:val="20"/>
          <w:color w:val="1E293B"/>
        </w:rPr>
        <w:t xml:space="preserve">• Implementation approach:.</w:t>
      </w:r>
    </w:p>
    <w:p>
      <w:pPr>
        <w:spacing w:before="60" w:after="120" w:line="276" w:lineRule="auto"/>
        <w:ind w:left="454" w:hanging="227"/>
      </w:pPr>
      <w:r>
        <w:rPr>
          <w:sz w:val="20"/>
          <w:szCs w:val="20"/>
          <w:color w:val="1E293B"/>
        </w:rPr>
        <w:t xml:space="preserve">• Restrict who can modify ePHI, and separate the ability to change data from the ability to change the audit trail.</w:t>
      </w:r>
    </w:p>
    <w:p>
      <w:pPr>
        <w:spacing w:before="60" w:after="120" w:line="276" w:lineRule="auto"/>
        <w:ind w:left="454" w:hanging="227"/>
      </w:pPr>
      <w:r>
        <w:rPr>
          <w:sz w:val="20"/>
          <w:szCs w:val="20"/>
          <w:color w:val="1E293B"/>
        </w:rPr>
        <w:t xml:space="preserve">• Enforce validation at entry — type, range, format and clinical plausibility checks — so bad data is rejected rather than stored.</w:t>
      </w:r>
    </w:p>
    <w:p>
      <w:pPr>
        <w:spacing w:before="60" w:after="120" w:line="276" w:lineRule="auto"/>
        <w:ind w:left="454" w:hanging="227"/>
      </w:pPr>
      <w:r>
        <w:rPr>
          <w:sz w:val="20"/>
          <w:szCs w:val="20"/>
          <w:color w:val="1E293B"/>
        </w:rPr>
        <w:t xml:space="preserve">• Maintain record versioning or an amendment history so prior values remain recoverable and visible.</w:t>
      </w:r>
    </w:p>
    <w:p>
      <w:pPr>
        <w:spacing w:before="60" w:after="120" w:line="276" w:lineRule="auto"/>
        <w:ind w:left="454" w:hanging="227"/>
      </w:pPr>
      <w:r>
        <w:rPr>
          <w:sz w:val="20"/>
          <w:szCs w:val="20"/>
          <w:color w:val="1E293B"/>
        </w:rPr>
        <w:t xml:space="preserve">• Apply cryptographic corroboration where it is reasonable and appropriate: hashes or checksums on stored records, archives and exports, and digital signatures where authorship matters.</w:t>
      </w:r>
    </w:p>
    <w:p>
      <w:pPr>
        <w:spacing w:before="60" w:after="120" w:line="276" w:lineRule="auto"/>
        <w:ind w:left="454" w:hanging="227"/>
      </w:pPr>
      <w:r>
        <w:rPr>
          <w:sz w:val="20"/>
          <w:szCs w:val="20"/>
          <w:color w:val="1E293B"/>
        </w:rPr>
        <w:t xml:space="preserve">• Verify integrity on transfer, backup and restore, and compare hashes rather than assuming success.</w:t>
      </w:r>
    </w:p>
    <w:p>
      <w:pPr>
        <w:spacing w:before="60" w:after="120" w:line="276" w:lineRule="auto"/>
        <w:ind w:left="454" w:hanging="227"/>
      </w:pPr>
      <w:r>
        <w:rPr>
          <w:sz w:val="20"/>
          <w:szCs w:val="20"/>
          <w:color w:val="1E293B"/>
        </w:rPr>
        <w:t xml:space="preserve">• Protect against malware and ransomware, which are the most common cause of large-scale integrity loss.</w:t>
      </w:r>
    </w:p>
    <w:p>
      <w:pPr>
        <w:spacing w:before="60" w:after="120" w:line="276" w:lineRule="auto"/>
        <w:ind w:left="454" w:hanging="227"/>
      </w:pPr>
      <w:r>
        <w:rPr>
          <w:sz w:val="20"/>
          <w:szCs w:val="20"/>
          <w:color w:val="1E293B"/>
        </w:rPr>
        <w:t xml:space="preserve">• Test restores regularly; an untested backup is an assumption, not a control.</w:t>
      </w:r>
    </w:p>
    <w:p>
      <w:pPr>
        <w:spacing w:before="60" w:after="120" w:line="276" w:lineRule="auto"/>
        <w:ind w:left="454" w:hanging="227"/>
      </w:pPr>
      <w:r>
        <w:rPr>
          <w:sz w:val="20"/>
          <w:szCs w:val="20"/>
          <w:color w:val="1E293B"/>
        </w:rPr>
        <w:t xml:space="preserve">• Log and alert on unexpected bulk modification or deletion.</w:t>
      </w:r>
    </w:p>
    <w:p>
      <w:pPr>
        <w:spacing w:before="60" w:after="120" w:line="276" w:lineRule="auto"/>
        <w:ind w:left="454" w:hanging="227"/>
      </w:pPr>
      <w:r>
        <w:rPr>
          <w:sz w:val="20"/>
          <w:szCs w:val="20"/>
          <w:color w:val="1E293B"/>
        </w:rPr>
        <w:t xml:space="preserve">• Where you decide not to implement the addressable authentication mechanism, document the reasoning and the alternative safeguard under 164.306(d).</w:t>
      </w:r>
    </w:p>
    <w:p>
      <w:pPr>
        <w:spacing w:before="240" w:after="120"/>
        <w:outlineLvl w:val="1"/>
      </w:pPr>
      <w:r>
        <w:rPr>
          <w:b/>
          <w:sz w:val="26"/>
          <w:szCs w:val="26"/>
          <w:color w:val="0EA5E9"/>
        </w:rPr>
        <w:t xml:space="preserve">5. Procedure</w:t>
      </w:r>
    </w:p>
    <w:p>
      <w:pPr>
        <w:spacing w:before="60" w:after="120" w:line="276" w:lineRule="auto"/>
      </w:pPr>
      <w:r>
        <w:rPr>
          <w:sz w:val="20"/>
          <w:szCs w:val="20"/>
          <w:color w:val="1E293B"/>
        </w:rPr>
        <w:t xml:space="preserve">Describe the steps your organisation actually follows, who performs each one, and how often. Replace this paragraph with that detail — a policy that states an intention without a procedure is a common audit finding.</w:t>
      </w:r>
    </w:p>
    <w:p>
      <w:pPr>
        <w:spacing w:before="60" w:after="120" w:line="276" w:lineRule="auto"/>
      </w:pPr>
      <w:r>
        <w:rPr>
          <w:sz w:val="20"/>
          <w:szCs w:val="20"/>
          <w:color w:val="1E293B"/>
        </w:rPr>
        <w:t xml:space="preserve">[Insert procedure: trigger, steps, responsible role, frequency, records produced.]</w:t>
      </w:r>
    </w:p>
    <w:p>
      <w:pPr>
        <w:spacing w:before="240" w:after="120"/>
        <w:outlineLvl w:val="1"/>
      </w:pPr>
      <w:r>
        <w:rPr>
          <w:b/>
          <w:sz w:val="26"/>
          <w:szCs w:val="26"/>
          <w:color w:val="0EA5E9"/>
        </w:rPr>
        <w:t xml:space="preserve">6. Records and retention</w:t>
      </w:r>
    </w:p>
    <w:p>
      <w:pPr>
        <w:spacing w:before="60" w:after="120" w:line="276" w:lineRule="auto"/>
      </w:pPr>
      <w:r>
        <w:rPr>
          <w:sz w:val="20"/>
          <w:szCs w:val="20"/>
          <w:color w:val="1E293B"/>
        </w:rPr>
        <w:t xml:space="preserve">The following records evidence this control and are retained for a minimum of six years from the later of the date of creation or the date last in effect, per 45 CFR 164.316(b)(2):</w:t>
      </w:r>
    </w:p>
    <w:p>
      <w:pPr>
        <w:spacing w:before="60" w:after="120" w:line="276" w:lineRule="auto"/>
        <w:ind w:left="454" w:hanging="227"/>
      </w:pPr>
      <w:r>
        <w:rPr>
          <w:sz w:val="20"/>
          <w:szCs w:val="20"/>
          <w:color w:val="1E293B"/>
        </w:rPr>
        <w:t xml:space="preserve">• Data integrity policy and supporting procedures</w:t>
      </w:r>
    </w:p>
    <w:p>
      <w:pPr>
        <w:spacing w:before="60" w:after="120" w:line="276" w:lineRule="auto"/>
        <w:ind w:left="454" w:hanging="227"/>
      </w:pPr>
      <w:r>
        <w:rPr>
          <w:sz w:val="20"/>
          <w:szCs w:val="20"/>
          <w:color w:val="1E293B"/>
        </w:rPr>
        <w:t xml:space="preserve">• Data validation rules and where they are enforced</w:t>
      </w:r>
    </w:p>
    <w:p>
      <w:pPr>
        <w:spacing w:before="60" w:after="120" w:line="276" w:lineRule="auto"/>
        <w:ind w:left="454" w:hanging="227"/>
      </w:pPr>
      <w:r>
        <w:rPr>
          <w:sz w:val="20"/>
          <w:szCs w:val="20"/>
          <w:color w:val="1E293B"/>
        </w:rPr>
        <w:t xml:space="preserve">• Record versioning or amendment history design, and retention of prior values</w:t>
      </w:r>
    </w:p>
    <w:p>
      <w:pPr>
        <w:spacing w:before="60" w:after="120" w:line="276" w:lineRule="auto"/>
        <w:ind w:left="454" w:hanging="227"/>
      </w:pPr>
      <w:r>
        <w:rPr>
          <w:sz w:val="20"/>
          <w:szCs w:val="20"/>
          <w:color w:val="1E293B"/>
        </w:rPr>
        <w:t xml:space="preserve">• Integrity mechanism decision record for 164.312(c)(2), including equivalent alternatives where not implemented</w:t>
      </w:r>
    </w:p>
    <w:p>
      <w:pPr>
        <w:spacing w:before="60" w:after="120" w:line="276" w:lineRule="auto"/>
        <w:ind w:left="454" w:hanging="227"/>
      </w:pPr>
      <w:r>
        <w:rPr>
          <w:sz w:val="20"/>
          <w:szCs w:val="20"/>
          <w:color w:val="1E293B"/>
        </w:rPr>
        <w:t xml:space="preserve">• Checksum, hash or digital signature standard and the systems it covers</w:t>
      </w:r>
    </w:p>
    <w:p>
      <w:pPr>
        <w:spacing w:before="60" w:after="120" w:line="276" w:lineRule="auto"/>
        <w:ind w:left="454" w:hanging="227"/>
      </w:pPr>
      <w:r>
        <w:rPr>
          <w:sz w:val="20"/>
          <w:szCs w:val="20"/>
          <w:color w:val="1E293B"/>
        </w:rPr>
        <w:t xml:space="preserve">• Backup and restore procedures, with completed restore test records</w:t>
      </w:r>
    </w:p>
    <w:p>
      <w:pPr>
        <w:spacing w:before="60" w:after="120" w:line="276" w:lineRule="auto"/>
        <w:ind w:left="454" w:hanging="227"/>
      </w:pPr>
      <w:r>
        <w:rPr>
          <w:sz w:val="20"/>
          <w:szCs w:val="20"/>
          <w:color w:val="1E293B"/>
        </w:rPr>
        <w:t xml:space="preserve">• Malware and ransomware protection configuration and coverage evidence</w:t>
      </w:r>
    </w:p>
    <w:p>
      <w:pPr>
        <w:spacing w:before="60" w:after="120" w:line="276" w:lineRule="auto"/>
        <w:ind w:left="454" w:hanging="227"/>
      </w:pPr>
      <w:r>
        <w:rPr>
          <w:sz w:val="20"/>
          <w:szCs w:val="20"/>
          <w:color w:val="1E293B"/>
        </w:rPr>
        <w:t xml:space="preserve">• Change control records for systems processing ePHI</w:t>
      </w:r>
    </w:p>
    <w:p>
      <w:pPr>
        <w:spacing w:before="60" w:after="120" w:line="276" w:lineRule="auto"/>
        <w:ind w:left="454" w:hanging="227"/>
      </w:pPr>
      <w:r>
        <w:rPr>
          <w:sz w:val="20"/>
          <w:szCs w:val="20"/>
          <w:color w:val="1E293B"/>
        </w:rPr>
        <w:t xml:space="preserve">• Integrity incident records, including detection, investigation and correction</w:t>
      </w:r>
    </w:p>
    <w:p>
      <w:pPr>
        <w:spacing w:before="60" w:after="120" w:line="276" w:lineRule="auto"/>
        <w:ind w:left="454" w:hanging="227"/>
      </w:pPr>
      <w:r>
        <w:rPr>
          <w:sz w:val="20"/>
          <w:szCs w:val="20"/>
          <w:color w:val="1E293B"/>
        </w:rPr>
        <w:t xml:space="preserve">• Alert definitions for unexpected bulk modification or deletion</w:t>
      </w:r>
    </w:p>
    <w:p>
      <w:pPr>
        <w:spacing w:before="240" w:after="120"/>
        <w:outlineLvl w:val="1"/>
      </w:pPr>
      <w:r>
        <w:rPr>
          <w:b/>
          <w:sz w:val="26"/>
          <w:szCs w:val="26"/>
          <w:color w:val="0EA5E9"/>
        </w:rPr>
        <w:t xml:space="preserve">7. Monitoring and testing</w:t>
      </w:r>
    </w:p>
    <w:p>
      <w:pPr>
        <w:spacing w:before="60" w:after="120" w:line="276" w:lineRule="auto"/>
      </w:pPr>
      <w:r>
        <w:rPr>
          <w:sz w:val="20"/>
          <w:szCs w:val="20"/>
          <w:color w:val="1E293B"/>
        </w:rPr>
        <w:t xml:space="preserve">Effectiveness is verified at least annually, and after any material change, by:</w:t>
      </w:r>
    </w:p>
    <w:p>
      <w:pPr>
        <w:spacing w:before="60" w:after="120" w:line="276" w:lineRule="auto"/>
        <w:ind w:left="454" w:hanging="227"/>
      </w:pPr>
      <w:r>
        <w:rPr>
          <w:sz w:val="20"/>
          <w:szCs w:val="20"/>
          <w:color w:val="1E293B"/>
        </w:rPr>
        <w:t xml:space="preserve">• Attempt to write invalid data and confirm validation rejects it rather than storing it</w:t>
      </w:r>
    </w:p>
    <w:p>
      <w:pPr>
        <w:spacing w:before="60" w:after="120" w:line="276" w:lineRule="auto"/>
        <w:ind w:left="454" w:hanging="227"/>
      </w:pPr>
      <w:r>
        <w:rPr>
          <w:sz w:val="20"/>
          <w:szCs w:val="20"/>
          <w:color w:val="1E293B"/>
        </w:rPr>
        <w:t xml:space="preserve">• Modify a test record and confirm the prior value remains recoverable through version or amendment history</w:t>
      </w:r>
    </w:p>
    <w:p>
      <w:pPr>
        <w:spacing w:before="60" w:after="120" w:line="276" w:lineRule="auto"/>
        <w:ind w:left="454" w:hanging="227"/>
      </w:pPr>
      <w:r>
        <w:rPr>
          <w:sz w:val="20"/>
          <w:szCs w:val="20"/>
          <w:color w:val="1E293B"/>
        </w:rPr>
        <w:t xml:space="preserve">• Verify hash or checksum generation and validation on stored records, archives and exports</w:t>
      </w:r>
    </w:p>
    <w:p>
      <w:pPr>
        <w:spacing w:before="60" w:after="120" w:line="276" w:lineRule="auto"/>
        <w:ind w:left="454" w:hanging="227"/>
      </w:pPr>
      <w:r>
        <w:rPr>
          <w:sz w:val="20"/>
          <w:szCs w:val="20"/>
          <w:color w:val="1E293B"/>
        </w:rPr>
        <w:t xml:space="preserve">• Perform a full restore from backup into an isolated environment and compare against expected content</w:t>
      </w:r>
    </w:p>
    <w:p>
      <w:pPr>
        <w:spacing w:before="60" w:after="120" w:line="276" w:lineRule="auto"/>
        <w:ind w:left="454" w:hanging="227"/>
      </w:pPr>
      <w:r>
        <w:rPr>
          <w:sz w:val="20"/>
          <w:szCs w:val="20"/>
          <w:color w:val="1E293B"/>
        </w:rPr>
        <w:t xml:space="preserve">• Confirm integrity verification occurs on transfer and after restore, with recorded results</w:t>
      </w:r>
    </w:p>
    <w:p>
      <w:pPr>
        <w:spacing w:before="60" w:after="120" w:line="276" w:lineRule="auto"/>
        <w:ind w:left="454" w:hanging="227"/>
      </w:pPr>
      <w:r>
        <w:rPr>
          <w:sz w:val="20"/>
          <w:szCs w:val="20"/>
          <w:color w:val="1E293B"/>
        </w:rPr>
        <w:t xml:space="preserve">• Attempt an unauthorised modification and confirm it is prevented, logged and alerted</w:t>
      </w:r>
    </w:p>
    <w:p>
      <w:pPr>
        <w:spacing w:before="60" w:after="120" w:line="276" w:lineRule="auto"/>
        <w:ind w:left="454" w:hanging="227"/>
      </w:pPr>
      <w:r>
        <w:rPr>
          <w:sz w:val="20"/>
          <w:szCs w:val="20"/>
          <w:color w:val="1E293B"/>
        </w:rPr>
        <w:t xml:space="preserve">• Confirm malware protection is deployed, current and covering every system holding ePHI</w:t>
      </w:r>
    </w:p>
    <w:p>
      <w:pPr>
        <w:spacing w:before="60" w:after="120" w:line="276" w:lineRule="auto"/>
        <w:ind w:left="454" w:hanging="227"/>
      </w:pPr>
      <w:r>
        <w:rPr>
          <w:sz w:val="20"/>
          <w:szCs w:val="20"/>
          <w:color w:val="1E293B"/>
        </w:rPr>
        <w:t xml:space="preserve">• Review change control records for a sample of recent changes to ePHI systems</w:t>
      </w:r>
    </w:p>
    <w:p>
      <w:pPr>
        <w:spacing w:before="60" w:after="120" w:line="276" w:lineRule="auto"/>
        <w:ind w:left="454" w:hanging="227"/>
      </w:pPr>
      <w:r>
        <w:rPr>
          <w:sz w:val="20"/>
          <w:szCs w:val="20"/>
          <w:color w:val="1E293B"/>
        </w:rPr>
        <w:t xml:space="preserve">• Test the alert path for bulk deletion or modification end to end</w:t>
      </w:r>
    </w:p>
    <w:p>
      <w:pPr>
        <w:spacing w:before="60" w:after="120" w:line="276" w:lineRule="auto"/>
        <w:ind w:left="454" w:hanging="227"/>
      </w:pPr>
      <w:r>
        <w:rPr>
          <w:sz w:val="20"/>
          <w:szCs w:val="20"/>
          <w:color w:val="1E293B"/>
        </w:rPr>
        <w:t xml:space="preserve">• Confirm the ability to modify data is separated from the ability to modify audit records</w:t>
      </w:r>
    </w:p>
    <w:p>
      <w:pPr>
        <w:spacing w:before="240" w:after="120"/>
        <w:outlineLvl w:val="1"/>
      </w:pPr>
      <w:r>
        <w:rPr>
          <w:b/>
          <w:sz w:val="26"/>
          <w:szCs w:val="26"/>
          <w:color w:val="0EA5E9"/>
        </w:rPr>
        <w:t xml:space="preserve">8. Enforcement</w:t>
      </w:r>
    </w:p>
    <w:p>
      <w:pPr>
        <w:spacing w:before="60" w:after="120" w:line="276" w:lineRule="auto"/>
      </w:pPr>
      <w:r>
        <w:rPr>
          <w:sz w:val="20"/>
          <w:szCs w:val="20"/>
          <w:color w:val="1E293B"/>
        </w:rPr>
        <w:t xml:space="preserve">Failure to comply is addressed under the sanction policy required by 45 CFR 164.308(a)(1)(ii)(C), up to and including termination of employment or contract.</w:t>
      </w:r>
    </w:p>
    <w:p>
      <w:pPr>
        <w:spacing w:before="240" w:after="120"/>
        <w:outlineLvl w:val="1"/>
      </w:pPr>
      <w:r>
        <w:rPr>
          <w:b/>
          <w:sz w:val="26"/>
          <w:szCs w:val="26"/>
          <w:color w:val="0EA5E9"/>
        </w:rPr>
        <w:t xml:space="preserve">9. Review</w:t>
      </w:r>
    </w:p>
    <w:p>
      <w:pPr>
        <w:spacing w:before="60" w:after="120" w:line="276" w:lineRule="auto"/>
      </w:pPr>
      <w:r>
        <w:rPr>
          <w:sz w:val="20"/>
          <w:szCs w:val="20"/>
          <w:color w:val="1E293B"/>
        </w:rPr>
        <w:t xml:space="preserve">This policy is reviewed at least annually by the Security Officer, and whenever a change in operations, technology or regulation affects it.</w:t>
      </w:r>
    </w:p>
    <w:p>
      <w:pPr>
        <w:spacing w:before="240" w:after="120"/>
        <w:outlineLvl w:val="1"/>
      </w:pPr>
      <w:r>
        <w:rPr>
          <w:b/>
          <w:sz w:val="26"/>
          <w:szCs w:val="26"/>
          <w:color w:val="0EA5E9"/>
        </w:rPr>
        <w:t xml:space="preserve">10. Adoption</w:t>
      </w:r>
    </w:p>
    <w:p>
      <w:pPr>
        <w:spacing w:before="60" w:after="120" w:line="276" w:lineRule="auto"/>
      </w:pPr>
      <w:r>
        <w:rPr>
          <w:sz w:val="20"/>
          <w:szCs w:val="20"/>
          <w:color w:val="1E293B"/>
        </w:rPr>
        <w:t xml:space="preserve">Adopted by: [approver_name], [approver_title]. Effective date: [effective_date]. Version: [version]. Next review due: [review_date].</w:t>
      </w:r>
    </w:p>
    <w:p>
      <w:pPr>
        <w:spacing w:before="240" w:after="120"/>
        <w:outlineLvl w:val="1"/>
      </w:pPr>
      <w:r>
        <w:rPr>
          <w:b/>
          <w:sz w:val="26"/>
          <w:szCs w:val="26"/>
          <w:color w:val="0EA5E9"/>
        </w:rPr>
        <w:t xml:space="preserve">Related guidance</w:t>
      </w:r>
    </w:p>
    <w:p>
      <w:pPr>
        <w:spacing w:before="60" w:after="120" w:line="276" w:lineRule="auto"/>
      </w:pPr>
      <w:r>
        <w:rPr>
          <w:sz w:val="20"/>
          <w:szCs w:val="20"/>
          <w:color w:val="1E293B"/>
        </w:rPr>
        <w:t xml:space="preserve">NIST SP 800-66 Rev. 2: Section 3.3.3</w:t>
      </w:r>
    </w:p>
    <w:p>
      <w:pPr>
        <w:spacing w:before="60" w:after="120" w:line="276" w:lineRule="auto"/>
      </w:pPr>
      <w:r>
        <w:rPr>
          <w:sz w:val="15"/>
          <w:szCs w:val="15"/>
          <w:color w:val="94a3b8"/>
        </w:rPr>
        <w:t xml:space="preserve">(c) 2026 HIPAA Auditors. Issued 9 August 2026.</w:t>
      </w:r>
    </w:p>
    <w:sectPr>
      <w:pgSz w:w="11906" w:h="16838"/>
      <w:pgMar w:top="1134" w:right="1134" w:bottom="1134" w:left="1134" w:header="709" w:footer="709"/>
    </w:sectPr>
  </w:body>
</w:document>
</file>

<file path=docProps/core.xml><?xml version="1.0" encoding="utf-8"?>
<cp:coreProperties xmlns:cp="http://schemas.openxmlformats.org/package/2006/metadata/core-properties" xmlns:dc="http://purl.org/dc/elements/1.1/" xmlns:dcterms="http://purl.org/dc/terms/" xmlns:xsi="http://www.w3.org/2001/XMLSchema-instance">
  <dc:title>Integrity Policy Template</dc:title>
  <dc:subject>Policy and procedure template for 45 CFR 164.312(c)(1) — Integrity</dc:subject>
  <dc:creator>HIPAA Auditors</dc:creator>
  <cp:lastModifiedBy>HIPAA Auditors</cp:lastModifiedBy>
  <dcterms:created xsi:type="dcterms:W3CDTF">2026-08-09T16:02:20+00:00</dcterms:created>
  <dcterms:modified xsi:type="dcterms:W3CDTF">2026-08-09T16:02:20+00:00</dcterms:modified>
</cp:coreProperties>
</file>