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w:body>
    <w:p>
      <w:pPr>
        <w:spacing w:before="0" w:after="120"/>
        <w:outlineLvl w:val="0"/>
      </w:pPr>
      <w:r>
        <w:rPr>
          <w:b/>
          <w:sz w:val="36"/>
          <w:szCs w:val="36"/>
          <w:color w:val="0F172A"/>
        </w:rPr>
        <w:t xml:space="preserve">Workforce Security Policy Template</w:t>
      </w:r>
    </w:p>
    <w:p>
      <w:pPr>
        <w:spacing w:before="60" w:after="120" w:line="276" w:lineRule="auto"/>
      </w:pPr>
      <w:r>
        <w:rPr>
          <w:i/>
          <w:sz w:val="20"/>
          <w:szCs w:val="20"/>
          <w:color w:val="475569"/>
        </w:rPr>
        <w:t xml:space="preserve">Policy and procedure template for 45 CFR 164.308(a)(3) — Workforce Security</w:t>
      </w:r>
    </w:p>
    <w:p>
      <w:pPr>
        <w:spacing w:before="60" w:after="120" w:line="276" w:lineRule="auto"/>
      </w:pPr>
      <w:r>
        <w:rPr>
          <w:sz w:val="16"/>
          <w:szCs w:val="16"/>
          <w:color w:val="64748b"/>
        </w:rPr>
        <w:t xml:space="preserve">HIPAA Auditors  |  info@hipaaauditors.com  |  https://hipaaauditors.com</w:t>
      </w:r>
    </w:p>
    <w:p>
      <w:pPr>
        <w:spacing w:before="60" w:after="120" w:line="276" w:lineRule="auto"/>
        <w:shd w:val="clear" w:color="auto" w:fill="FFFBEB"/>
      </w:pPr>
      <w:r>
        <w:rPr>
          <w:sz w:val="16"/>
          <w:szCs w:val="16"/>
          <w:color w:val="92400e"/>
        </w:rPr>
        <w:t xml:space="preserve">Replace every bracketed placeholder with your organisation's own detail, delete the guidance notes, then have this document reviewed and formally adopted before use. General information only, not legal advice.</w:t>
      </w:r>
    </w:p>
    <w:p>
      <w:pPr>
        <w:spacing w:before="240" w:after="120"/>
        <w:outlineLvl w:val="1"/>
      </w:pPr>
      <w:r>
        <w:rPr>
          <w:b/>
          <w:sz w:val="26"/>
          <w:szCs w:val="26"/>
          <w:color w:val="0EA5E9"/>
        </w:rPr>
        <w:t xml:space="preserve">1. Purpose</w:t>
      </w:r>
    </w:p>
    <w:p>
      <w:pPr>
        <w:spacing w:before="60" w:after="120" w:line="276" w:lineRule="auto"/>
      </w:pPr>
      <w:r>
        <w:rPr>
          <w:sz w:val="20"/>
          <w:szCs w:val="20"/>
          <w:color w:val="1E293B"/>
        </w:rPr>
        <w:t xml:space="preserve">This policy establishes how [org_name] satisfies the requirement at 45 CFR 164.308(a)(3) (Workforce Security): Implement policies and procedures to ensure that all members of the workforce have appropriate access to electronic protected health information (ePHI) and to prevent those workforce members who do not have access from obtaining access to ePHI.</w:t>
      </w:r>
    </w:p>
    <w:p>
      <w:pPr>
        <w:spacing w:before="240" w:after="120"/>
        <w:outlineLvl w:val="1"/>
      </w:pPr>
      <w:r>
        <w:rPr>
          <w:b/>
          <w:sz w:val="26"/>
          <w:szCs w:val="26"/>
          <w:color w:val="0EA5E9"/>
        </w:rPr>
        <w:t xml:space="preserve">2. Scope</w:t>
      </w:r>
    </w:p>
    <w:p>
      <w:pPr>
        <w:spacing w:before="60" w:after="120" w:line="276" w:lineRule="auto"/>
      </w:pPr>
      <w:r>
        <w:rPr>
          <w:sz w:val="20"/>
          <w:szCs w:val="20"/>
          <w:color w:val="1E293B"/>
        </w:rPr>
        <w:t xml:space="preserve">This policy applies to all workforce members of [org_name], including employees, contractors, volunteers and trainees, and to all systems, facilities and media that create, receive, maintain or transmit electronic protected health information.</w:t>
      </w:r>
    </w:p>
    <w:p>
      <w:pPr>
        <w:spacing w:before="240" w:after="120"/>
        <w:outlineLvl w:val="1"/>
      </w:pPr>
      <w:r>
        <w:rPr>
          <w:b/>
          <w:sz w:val="26"/>
          <w:szCs w:val="26"/>
          <w:color w:val="0EA5E9"/>
        </w:rPr>
        <w:t xml:space="preserve">3. Responsibility</w:t>
      </w:r>
    </w:p>
    <w:p>
      <w:pPr>
        <w:spacing w:before="60" w:after="120" w:line="276" w:lineRule="auto"/>
      </w:pPr>
      <w:r>
        <w:rPr>
          <w:sz w:val="20"/>
          <w:szCs w:val="20"/>
          <w:color w:val="1E293B"/>
        </w:rPr>
        <w:t xml:space="preserve">The Security Officer, [security_officer] ([security_email]), owns this policy and is accountable for its implementation, review and enforcement. Day-to-day operation is delegated to [control_owner].</w:t>
      </w:r>
    </w:p>
    <w:p>
      <w:pPr>
        <w:spacing w:before="240" w:after="120"/>
        <w:outlineLvl w:val="1"/>
      </w:pPr>
      <w:r>
        <w:rPr>
          <w:b/>
          <w:sz w:val="26"/>
          <w:szCs w:val="26"/>
          <w:color w:val="0EA5E9"/>
        </w:rPr>
        <w:t xml:space="preserve">4. Policy</w:t>
      </w:r>
    </w:p>
    <w:p>
      <w:pPr>
        <w:spacing w:before="60" w:after="120" w:line="276" w:lineRule="auto"/>
      </w:pPr>
      <w:r>
        <w:rPr>
          <w:sz w:val="20"/>
          <w:szCs w:val="20"/>
          <w:color w:val="1E293B"/>
        </w:rPr>
        <w:t xml:space="preserve">[org_name] will:</w:t>
      </w:r>
    </w:p>
    <w:p>
      <w:pPr>
        <w:spacing w:before="60" w:after="120" w:line="276" w:lineRule="auto"/>
        <w:ind w:left="454" w:hanging="227"/>
      </w:pPr>
      <w:r>
        <w:rPr>
          <w:sz w:val="20"/>
          <w:szCs w:val="20"/>
          <w:color w:val="1E293B"/>
        </w:rPr>
        <w:t xml:space="preserve">• Develop and implement workforce security policies including:.</w:t>
      </w:r>
    </w:p>
    <w:p>
      <w:pPr>
        <w:spacing w:before="60" w:after="120" w:line="276" w:lineRule="auto"/>
        <w:ind w:left="454" w:hanging="227"/>
      </w:pPr>
      <w:r>
        <w:rPr>
          <w:sz w:val="20"/>
          <w:szCs w:val="20"/>
          <w:color w:val="1E293B"/>
        </w:rPr>
        <w:t xml:space="preserve">• Background checks and screening procedures for new hires.</w:t>
      </w:r>
    </w:p>
    <w:p>
      <w:pPr>
        <w:spacing w:before="60" w:after="120" w:line="276" w:lineRule="auto"/>
        <w:ind w:left="454" w:hanging="227"/>
      </w:pPr>
      <w:r>
        <w:rPr>
          <w:sz w:val="20"/>
          <w:szCs w:val="20"/>
          <w:color w:val="1E293B"/>
        </w:rPr>
        <w:t xml:space="preserve">• Access authorization procedures based on job functions.</w:t>
      </w:r>
    </w:p>
    <w:p>
      <w:pPr>
        <w:spacing w:before="60" w:after="120" w:line="276" w:lineRule="auto"/>
        <w:ind w:left="454" w:hanging="227"/>
      </w:pPr>
      <w:r>
        <w:rPr>
          <w:sz w:val="20"/>
          <w:szCs w:val="20"/>
          <w:color w:val="1E293B"/>
        </w:rPr>
        <w:t xml:space="preserve">• Regular review and update of access permissions.</w:t>
      </w:r>
    </w:p>
    <w:p>
      <w:pPr>
        <w:spacing w:before="60" w:after="120" w:line="276" w:lineRule="auto"/>
        <w:ind w:left="454" w:hanging="227"/>
      </w:pPr>
      <w:r>
        <w:rPr>
          <w:sz w:val="20"/>
          <w:szCs w:val="20"/>
          <w:color w:val="1E293B"/>
        </w:rPr>
        <w:t xml:space="preserve">• Procedures for terminating access when employees leave.</w:t>
      </w:r>
    </w:p>
    <w:p>
      <w:pPr>
        <w:spacing w:before="60" w:after="120" w:line="276" w:lineRule="auto"/>
        <w:ind w:left="454" w:hanging="227"/>
      </w:pPr>
      <w:r>
        <w:rPr>
          <w:sz w:val="20"/>
          <w:szCs w:val="20"/>
          <w:color w:val="1E293B"/>
        </w:rPr>
        <w:t xml:space="preserve">• Monitoring of workforce access to ePHI.</w:t>
      </w:r>
    </w:p>
    <w:p>
      <w:pPr>
        <w:spacing w:before="60" w:after="120" w:line="276" w:lineRule="auto"/>
        <w:ind w:left="454" w:hanging="227"/>
      </w:pPr>
      <w:r>
        <w:rPr>
          <w:sz w:val="20"/>
          <w:szCs w:val="20"/>
          <w:color w:val="1E293B"/>
        </w:rPr>
        <w:t xml:space="preserve">• Training on workforce security policies.</w:t>
      </w:r>
    </w:p>
    <w:p>
      <w:pPr>
        <w:spacing w:before="60" w:after="120" w:line="276" w:lineRule="auto"/>
        <w:ind w:left="454" w:hanging="227"/>
      </w:pPr>
      <w:r>
        <w:rPr>
          <w:sz w:val="20"/>
          <w:szCs w:val="20"/>
          <w:color w:val="1E293B"/>
        </w:rPr>
        <w:t xml:space="preserve">• Key components:.</w:t>
      </w:r>
    </w:p>
    <w:p>
      <w:pPr>
        <w:spacing w:before="60" w:after="120" w:line="276" w:lineRule="auto"/>
        <w:ind w:left="454" w:hanging="227"/>
      </w:pPr>
      <w:r>
        <w:rPr>
          <w:sz w:val="20"/>
          <w:szCs w:val="20"/>
          <w:color w:val="1E293B"/>
        </w:rPr>
        <w:t xml:space="preserve">• - Pre-employment screening and background checks.</w:t>
      </w:r>
    </w:p>
    <w:p>
      <w:pPr>
        <w:spacing w:before="60" w:after="120" w:line="276" w:lineRule="auto"/>
        <w:ind w:left="454" w:hanging="227"/>
      </w:pPr>
      <w:r>
        <w:rPr>
          <w:sz w:val="20"/>
          <w:szCs w:val="20"/>
          <w:color w:val="1E293B"/>
        </w:rPr>
        <w:t xml:space="preserve">• - Role-based access control (RBAC).</w:t>
      </w:r>
    </w:p>
    <w:p>
      <w:pPr>
        <w:spacing w:before="60" w:after="120" w:line="276" w:lineRule="auto"/>
        <w:ind w:left="454" w:hanging="227"/>
      </w:pPr>
      <w:r>
        <w:rPr>
          <w:sz w:val="20"/>
          <w:szCs w:val="20"/>
          <w:color w:val="1E293B"/>
        </w:rPr>
        <w:t xml:space="preserve">• - Regular access reviews and recertification.</w:t>
      </w:r>
    </w:p>
    <w:p>
      <w:pPr>
        <w:spacing w:before="60" w:after="120" w:line="276" w:lineRule="auto"/>
        <w:ind w:left="454" w:hanging="227"/>
      </w:pPr>
      <w:r>
        <w:rPr>
          <w:sz w:val="20"/>
          <w:szCs w:val="20"/>
          <w:color w:val="1E293B"/>
        </w:rPr>
        <w:t xml:space="preserve">• - Proper termination procedures.</w:t>
      </w:r>
    </w:p>
    <w:p>
      <w:pPr>
        <w:spacing w:before="60" w:after="120" w:line="276" w:lineRule="auto"/>
        <w:ind w:left="454" w:hanging="227"/>
      </w:pPr>
      <w:r>
        <w:rPr>
          <w:sz w:val="20"/>
          <w:szCs w:val="20"/>
          <w:color w:val="1E293B"/>
        </w:rPr>
        <w:t xml:space="preserve">• - Ongoing monitoring and auditing.</w:t>
      </w:r>
    </w:p>
    <w:p>
      <w:pPr>
        <w:spacing w:before="240" w:after="120"/>
        <w:outlineLvl w:val="1"/>
      </w:pPr>
      <w:r>
        <w:rPr>
          <w:b/>
          <w:sz w:val="26"/>
          <w:szCs w:val="26"/>
          <w:color w:val="0EA5E9"/>
        </w:rPr>
        <w:t xml:space="preserve">5. Procedure</w:t>
      </w:r>
    </w:p>
    <w:p>
      <w:pPr>
        <w:spacing w:before="60" w:after="120" w:line="276" w:lineRule="auto"/>
      </w:pPr>
      <w:r>
        <w:rPr>
          <w:sz w:val="20"/>
          <w:szCs w:val="20"/>
          <w:color w:val="1E293B"/>
        </w:rPr>
        <w:t xml:space="preserve">Describe the steps your organisation actually follows, who performs each one, and how often. Replace this paragraph with that detail — a policy that states an intention without a procedure is a common audit finding.</w:t>
      </w:r>
    </w:p>
    <w:p>
      <w:pPr>
        <w:spacing w:before="60" w:after="120" w:line="276" w:lineRule="auto"/>
      </w:pPr>
      <w:r>
        <w:rPr>
          <w:sz w:val="20"/>
          <w:szCs w:val="20"/>
          <w:color w:val="1E293B"/>
        </w:rPr>
        <w:t xml:space="preserve">[Insert procedure: trigger, steps, responsible role, frequency, records produced.]</w:t>
      </w:r>
    </w:p>
    <w:p>
      <w:pPr>
        <w:spacing w:before="240" w:after="120"/>
        <w:outlineLvl w:val="1"/>
      </w:pPr>
      <w:r>
        <w:rPr>
          <w:b/>
          <w:sz w:val="26"/>
          <w:szCs w:val="26"/>
          <w:color w:val="0EA5E9"/>
        </w:rPr>
        <w:t xml:space="preserve">6. Records and retention</w:t>
      </w:r>
    </w:p>
    <w:p>
      <w:pPr>
        <w:spacing w:before="60" w:after="120" w:line="276" w:lineRule="auto"/>
      </w:pPr>
      <w:r>
        <w:rPr>
          <w:sz w:val="20"/>
          <w:szCs w:val="20"/>
          <w:color w:val="1E293B"/>
        </w:rPr>
        <w:t xml:space="preserve">The following records evidence this control and are retained for a minimum of six years from the later of the date of creation or the date last in effect, per 45 CFR 164.316(b)(2):</w:t>
      </w:r>
    </w:p>
    <w:p>
      <w:pPr>
        <w:spacing w:before="60" w:after="120" w:line="276" w:lineRule="auto"/>
        <w:ind w:left="454" w:hanging="227"/>
      </w:pPr>
      <w:r>
        <w:rPr>
          <w:sz w:val="20"/>
          <w:szCs w:val="20"/>
          <w:color w:val="1E293B"/>
        </w:rPr>
        <w:t xml:space="preserve">• Workforce security policies and procedures</w:t>
      </w:r>
    </w:p>
    <w:p>
      <w:pPr>
        <w:spacing w:before="60" w:after="120" w:line="276" w:lineRule="auto"/>
        <w:ind w:left="454" w:hanging="227"/>
      </w:pPr>
      <w:r>
        <w:rPr>
          <w:sz w:val="20"/>
          <w:szCs w:val="20"/>
          <w:color w:val="1E293B"/>
        </w:rPr>
        <w:t xml:space="preserve">• Background check procedures and forms</w:t>
      </w:r>
    </w:p>
    <w:p>
      <w:pPr>
        <w:spacing w:before="60" w:after="120" w:line="276" w:lineRule="auto"/>
        <w:ind w:left="454" w:hanging="227"/>
      </w:pPr>
      <w:r>
        <w:rPr>
          <w:sz w:val="20"/>
          <w:szCs w:val="20"/>
          <w:color w:val="1E293B"/>
        </w:rPr>
        <w:t xml:space="preserve">• Access authorization procedures</w:t>
      </w:r>
    </w:p>
    <w:p>
      <w:pPr>
        <w:spacing w:before="60" w:after="120" w:line="276" w:lineRule="auto"/>
        <w:ind w:left="454" w:hanging="227"/>
      </w:pPr>
      <w:r>
        <w:rPr>
          <w:sz w:val="20"/>
          <w:szCs w:val="20"/>
          <w:color w:val="1E293B"/>
        </w:rPr>
        <w:t xml:space="preserve">• Job function descriptions and access requirements</w:t>
      </w:r>
    </w:p>
    <w:p>
      <w:pPr>
        <w:spacing w:before="60" w:after="120" w:line="276" w:lineRule="auto"/>
        <w:ind w:left="454" w:hanging="227"/>
      </w:pPr>
      <w:r>
        <w:rPr>
          <w:sz w:val="20"/>
          <w:szCs w:val="20"/>
          <w:color w:val="1E293B"/>
        </w:rPr>
        <w:t xml:space="preserve">• Access review and recertification procedures</w:t>
      </w:r>
    </w:p>
    <w:p>
      <w:pPr>
        <w:spacing w:before="60" w:after="120" w:line="276" w:lineRule="auto"/>
        <w:ind w:left="454" w:hanging="227"/>
      </w:pPr>
      <w:r>
        <w:rPr>
          <w:sz w:val="20"/>
          <w:szCs w:val="20"/>
          <w:color w:val="1E293B"/>
        </w:rPr>
        <w:t xml:space="preserve">• Termination procedures and checklists</w:t>
      </w:r>
    </w:p>
    <w:p>
      <w:pPr>
        <w:spacing w:before="60" w:after="120" w:line="276" w:lineRule="auto"/>
        <w:ind w:left="454" w:hanging="227"/>
      </w:pPr>
      <w:r>
        <w:rPr>
          <w:sz w:val="20"/>
          <w:szCs w:val="20"/>
          <w:color w:val="1E293B"/>
        </w:rPr>
        <w:t xml:space="preserve">• Training records and materials</w:t>
      </w:r>
    </w:p>
    <w:p>
      <w:pPr>
        <w:spacing w:before="240" w:after="120"/>
        <w:outlineLvl w:val="1"/>
      </w:pPr>
      <w:r>
        <w:rPr>
          <w:b/>
          <w:sz w:val="26"/>
          <w:szCs w:val="26"/>
          <w:color w:val="0EA5E9"/>
        </w:rPr>
        <w:t xml:space="preserve">7. Monitoring and testing</w:t>
      </w:r>
    </w:p>
    <w:p>
      <w:pPr>
        <w:spacing w:before="60" w:after="120" w:line="276" w:lineRule="auto"/>
      </w:pPr>
      <w:r>
        <w:rPr>
          <w:sz w:val="20"/>
          <w:szCs w:val="20"/>
          <w:color w:val="1E293B"/>
        </w:rPr>
        <w:t xml:space="preserve">Effectiveness is verified at least annually, and after any material change, by:</w:t>
      </w:r>
    </w:p>
    <w:p>
      <w:pPr>
        <w:spacing w:before="60" w:after="120" w:line="276" w:lineRule="auto"/>
        <w:ind w:left="454" w:hanging="227"/>
      </w:pPr>
      <w:r>
        <w:rPr>
          <w:sz w:val="20"/>
          <w:szCs w:val="20"/>
          <w:color w:val="1E293B"/>
        </w:rPr>
        <w:t xml:space="preserve">• Review workforce security policies and procedures</w:t>
      </w:r>
    </w:p>
    <w:p>
      <w:pPr>
        <w:spacing w:before="60" w:after="120" w:line="276" w:lineRule="auto"/>
        <w:ind w:left="454" w:hanging="227"/>
      </w:pPr>
      <w:r>
        <w:rPr>
          <w:sz w:val="20"/>
          <w:szCs w:val="20"/>
          <w:color w:val="1E293B"/>
        </w:rPr>
        <w:t xml:space="preserve">• Verify background check procedures are implemented</w:t>
      </w:r>
    </w:p>
    <w:p>
      <w:pPr>
        <w:spacing w:before="60" w:after="120" w:line="276" w:lineRule="auto"/>
        <w:ind w:left="454" w:hanging="227"/>
      </w:pPr>
      <w:r>
        <w:rPr>
          <w:sz w:val="20"/>
          <w:szCs w:val="20"/>
          <w:color w:val="1E293B"/>
        </w:rPr>
        <w:t xml:space="preserve">• Test access authorization processes</w:t>
      </w:r>
    </w:p>
    <w:p>
      <w:pPr>
        <w:spacing w:before="60" w:after="120" w:line="276" w:lineRule="auto"/>
        <w:ind w:left="454" w:hanging="227"/>
      </w:pPr>
      <w:r>
        <w:rPr>
          <w:sz w:val="20"/>
          <w:szCs w:val="20"/>
          <w:color w:val="1E293B"/>
        </w:rPr>
        <w:t xml:space="preserve">• Review access review and recertification procedures</w:t>
      </w:r>
    </w:p>
    <w:p>
      <w:pPr>
        <w:spacing w:before="60" w:after="120" w:line="276" w:lineRule="auto"/>
        <w:ind w:left="454" w:hanging="227"/>
      </w:pPr>
      <w:r>
        <w:rPr>
          <w:sz w:val="20"/>
          <w:szCs w:val="20"/>
          <w:color w:val="1E293B"/>
        </w:rPr>
        <w:t xml:space="preserve">• Verify termination procedures are followed</w:t>
      </w:r>
    </w:p>
    <w:p>
      <w:pPr>
        <w:spacing w:before="60" w:after="120" w:line="276" w:lineRule="auto"/>
        <w:ind w:left="454" w:hanging="227"/>
      </w:pPr>
      <w:r>
        <w:rPr>
          <w:sz w:val="20"/>
          <w:szCs w:val="20"/>
          <w:color w:val="1E293B"/>
        </w:rPr>
        <w:t xml:space="preserve">• Test monitoring and auditing capabilities</w:t>
      </w:r>
    </w:p>
    <w:p>
      <w:pPr>
        <w:spacing w:before="60" w:after="120" w:line="276" w:lineRule="auto"/>
        <w:ind w:left="454" w:hanging="227"/>
      </w:pPr>
      <w:r>
        <w:rPr>
          <w:sz w:val="20"/>
          <w:szCs w:val="20"/>
          <w:color w:val="1E293B"/>
        </w:rPr>
        <w:t xml:space="preserve">• Review training records and materials</w:t>
      </w:r>
    </w:p>
    <w:p>
      <w:pPr>
        <w:spacing w:before="240" w:after="120"/>
        <w:outlineLvl w:val="1"/>
      </w:pPr>
      <w:r>
        <w:rPr>
          <w:b/>
          <w:sz w:val="26"/>
          <w:szCs w:val="26"/>
          <w:color w:val="0EA5E9"/>
        </w:rPr>
        <w:t xml:space="preserve">8. Enforcement</w:t>
      </w:r>
    </w:p>
    <w:p>
      <w:pPr>
        <w:spacing w:before="60" w:after="120" w:line="276" w:lineRule="auto"/>
      </w:pPr>
      <w:r>
        <w:rPr>
          <w:sz w:val="20"/>
          <w:szCs w:val="20"/>
          <w:color w:val="1E293B"/>
        </w:rPr>
        <w:t xml:space="preserve">Failure to comply is addressed under the sanction policy required by 45 CFR 164.308(a)(1)(ii)(C), up to and including termination of employment or contract.</w:t>
      </w:r>
    </w:p>
    <w:p>
      <w:pPr>
        <w:spacing w:before="240" w:after="120"/>
        <w:outlineLvl w:val="1"/>
      </w:pPr>
      <w:r>
        <w:rPr>
          <w:b/>
          <w:sz w:val="26"/>
          <w:szCs w:val="26"/>
          <w:color w:val="0EA5E9"/>
        </w:rPr>
        <w:t xml:space="preserve">9. Review</w:t>
      </w:r>
    </w:p>
    <w:p>
      <w:pPr>
        <w:spacing w:before="60" w:after="120" w:line="276" w:lineRule="auto"/>
      </w:pPr>
      <w:r>
        <w:rPr>
          <w:sz w:val="20"/>
          <w:szCs w:val="20"/>
          <w:color w:val="1E293B"/>
        </w:rPr>
        <w:t xml:space="preserve">This policy is reviewed at least annually by the Security Officer, and whenever a change in operations, technology or regulation affects it.</w:t>
      </w:r>
    </w:p>
    <w:p>
      <w:pPr>
        <w:spacing w:before="240" w:after="120"/>
        <w:outlineLvl w:val="1"/>
      </w:pPr>
      <w:r>
        <w:rPr>
          <w:b/>
          <w:sz w:val="26"/>
          <w:szCs w:val="26"/>
          <w:color w:val="0EA5E9"/>
        </w:rPr>
        <w:t xml:space="preserve">10. Adoption</w:t>
      </w:r>
    </w:p>
    <w:p>
      <w:pPr>
        <w:spacing w:before="60" w:after="120" w:line="276" w:lineRule="auto"/>
      </w:pPr>
      <w:r>
        <w:rPr>
          <w:sz w:val="20"/>
          <w:szCs w:val="20"/>
          <w:color w:val="1E293B"/>
        </w:rPr>
        <w:t xml:space="preserve">Adopted by: [approver_name], [approver_title]. Effective date: [effective_date]. Version: [version]. Next review due: [review_date].</w:t>
      </w:r>
    </w:p>
    <w:p>
      <w:pPr>
        <w:spacing w:before="240" w:after="120"/>
        <w:outlineLvl w:val="1"/>
      </w:pPr>
      <w:r>
        <w:rPr>
          <w:b/>
          <w:sz w:val="26"/>
          <w:szCs w:val="26"/>
          <w:color w:val="0EA5E9"/>
        </w:rPr>
        <w:t xml:space="preserve">Related guidance</w:t>
      </w:r>
    </w:p>
    <w:p>
      <w:pPr>
        <w:spacing w:before="60" w:after="120" w:line="276" w:lineRule="auto"/>
      </w:pPr>
      <w:r>
        <w:rPr>
          <w:sz w:val="20"/>
          <w:szCs w:val="20"/>
          <w:color w:val="1E293B"/>
        </w:rPr>
        <w:t xml:space="preserve">NIST SP 800-66 Rev. 2: Section 3.1.2 NIST Cybersecurity Framework: PR.AC-1, PR.AC-2, PR.AC-3, PR.AC-4, PR.AC-5, PR.AC-6, PR.AC-7 NIST SP 800-53: PS-1, PS-2, PS-3, PS-4, PS-5, PS-6, PS-7, PS-8</w:t>
      </w:r>
    </w:p>
    <w:p>
      <w:pPr>
        <w:spacing w:before="60" w:after="120" w:line="276" w:lineRule="auto"/>
      </w:pPr>
      <w:r>
        <w:rPr>
          <w:sz w:val="15"/>
          <w:szCs w:val="15"/>
          <w:color w:val="94a3b8"/>
        </w:rPr>
        <w:t xml:space="preserve">(c) 2026 HIPAA Auditors. Issued 9 August 2026.</w:t>
      </w:r>
    </w:p>
    <w:sectPr>
      <w:pgSz w:w="11906" w:h="16838"/>
      <w:pgMar w:top="1134" w:right="1134" w:bottom="1134" w:left="1134" w:header="709" w:footer="709"/>
    </w:sectPr>
  </w:body>
</w:document>
</file>

<file path=docProps/core.xml><?xml version="1.0" encoding="utf-8"?>
<cp:coreProperties xmlns:cp="http://schemas.openxmlformats.org/package/2006/metadata/core-properties" xmlns:dc="http://purl.org/dc/elements/1.1/" xmlns:dcterms="http://purl.org/dc/terms/" xmlns:xsi="http://www.w3.org/2001/XMLSchema-instance">
  <dc:title>Workforce Security Policy Template</dc:title>
  <dc:subject>Policy and procedure template for 45 CFR 164.308(a)(3) — Workforce Security</dc:subject>
  <dc:creator>HIPAA Auditors</dc:creator>
  <cp:lastModifiedBy>HIPAA Auditors</cp:lastModifiedBy>
  <dcterms:created xsi:type="dcterms:W3CDTF">2026-08-09T16:02:19+00:00</dcterms:created>
  <dcterms:modified xsi:type="dcterms:W3CDTF">2026-08-09T16:02:19+00:00</dcterms:modified>
</cp:coreProperties>
</file>