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before="0" w:after="120"/>
        <w:outlineLvl w:val="0"/>
      </w:pPr>
      <w:r>
        <w:rPr>
          <w:b/>
          <w:sz w:val="36"/>
          <w:szCs w:val="36"/>
          <w:color w:val="0F172A"/>
        </w:rPr>
        <w:t xml:space="preserve">Workstation Security Policy Template</w:t>
      </w:r>
    </w:p>
    <w:p>
      <w:pPr>
        <w:spacing w:before="60" w:after="120" w:line="276" w:lineRule="auto"/>
      </w:pPr>
      <w:r>
        <w:rPr>
          <w:i/>
          <w:sz w:val="20"/>
          <w:szCs w:val="20"/>
          <w:color w:val="475569"/>
        </w:rPr>
        <w:t xml:space="preserve">Policy and procedure template for 45 CFR 164.310(c) — Workstation Security</w:t>
      </w:r>
    </w:p>
    <w:p>
      <w:pPr>
        <w:spacing w:before="60" w:after="120" w:line="276" w:lineRule="auto"/>
      </w:pPr>
      <w:r>
        <w:rPr>
          <w:sz w:val="16"/>
          <w:szCs w:val="16"/>
          <w:color w:val="64748b"/>
        </w:rPr>
        <w:t xml:space="preserve">HIPAA Auditors  |  info@hipaaauditors.com  |  https://hipaaauditors.com</w:t>
      </w:r>
    </w:p>
    <w:p>
      <w:pPr>
        <w:spacing w:before="60" w:after="120" w:line="276" w:lineRule="auto"/>
        <w:shd w:val="clear" w:color="auto" w:fill="FFFBEB"/>
      </w:pPr>
      <w:r>
        <w:rPr>
          <w:sz w:val="16"/>
          <w:szCs w:val="16"/>
          <w:color w:val="92400e"/>
        </w:rPr>
        <w:t xml:space="preserve">Replace every bracketed placeholder with your organisation's own detail, delete the guidance notes, then have this document reviewed and formally adopted before use. General information only, not legal advice.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1. Purpose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establishes how [org_name] satisfies the requirement at 45 CFR 164.310(c) (Workstation Security): Implement physical safeguards for all workstations that access ePHI, to restrict access to authorized users.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2. Scope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applies to all workforce members of [org_name], including employees, contractors, volunteers and trainees, and to all systems, facilities and media that create, receive, maintain or transmit electronic protected health information.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3. Responsibility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Security Officer, [security_officer] ([security_email]), owns this policy and is accountable for its implementation, review and enforcement. Day-to-day operation is delegated to [control_owner].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4. Policy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[org_name] will: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Implement comprehensive workstation controls including:.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Physical access controls for workstations.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User authentication and authorization.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Workstation configuration management.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Monitoring and logging of workstation access.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Workstation security policies and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Regular security assessments of workstations.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Key components:.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Physical access restrictions.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User authentication requirements.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Configuration management.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Monitoring and logging.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Security policies.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Regular assessments.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5. Procedure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Describe the steps your organisation actually follows, who performs each one, and how often. Replace this paragraph with that detail — a policy that states an intention without a procedure is a common audit finding.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[Insert procedure: trigger, steps, responsible role, frequency, records produced.]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6. Records and retention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following records evidence this control and are retained for a minimum of six years from the later of the date of creation or the date last in effect, per 45 CFR 164.316(b)(2):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Workstation control policies and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Physical access control documentation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User authentication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Configuration management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Monitoring and logging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Security assessment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Training materials and records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7. Monitoring and testing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Effectiveness is verified at least annually, and after any material change, by: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workstation control policies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Test physical access controls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user authentication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configuration management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Test monitoring and logging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security policies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Conduct security assessments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8. Enforcement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Failure to comply is addressed under the sanction policy required by 45 CFR 164.308(a)(1)(ii)(C), up to and including termination of employment or contract.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9. Review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is reviewed at least annually by the Security Officer, and whenever a change in operations, technology or regulation affects it.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10. Adoption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Adopted by: [approver_name], [approver_title]. Effective date: [effective_date]. Version: [version]. Next review due: [review_date].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Related guidance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NIST SP 800-66 Rev. 2: Section 3.2.2 NIST Cybersecurity Framework: PR.AC-1, PR.AC-2, PR.AC-3, PR.AC-4, PR.AC-5, PR.AC-6, PR.AC-7 NIST SP 800-53: PE-1, PE-2, PE-3, PE-4, PE-5, PE-6, PE-7, PE-8, PE-9, PE-10, PE-11, PE-12, PE-13, PE-14, PE-15, PE-16, PE-17, PE-18, PE-19, PE-20, PE-21, PE-22, PE-23, PE-24, PE-25</w:t>
      </w:r>
    </w:p>
    <w:p>
      <w:pPr>
        <w:spacing w:before="60" w:after="120" w:line="276" w:lineRule="auto"/>
      </w:pPr>
      <w:r>
        <w:rPr>
          <w:sz w:val="15"/>
          <w:szCs w:val="15"/>
          <w:color w:val="94a3b8"/>
        </w:rPr>
        <w:t xml:space="preserve">(c) 2026 HIPAA Auditors. Issued 9 August 2026.</w:t>
      </w:r>
    </w:p>
    <w:sectPr>
      <w:pgSz w:w="11906" w:h="16838"/>
      <w:pgMar w:top="1134" w:right="1134" w:bottom="1134" w:left="1134" w:header="709" w:footer="709"/>
    </w:sectPr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Workstation Security Policy Template</dc:title>
  <dc:subject>Policy and procedure template for 45 CFR 164.310(c) — Workstation Security</dc:subject>
  <dc:creator>HIPAA Auditors</dc:creator>
  <cp:lastModifiedBy>HIPAA Auditors</cp:lastModifiedBy>
  <dcterms:created xsi:type="dcterms:W3CDTF">2026-08-09T16:02:20+00:00</dcterms:created>
  <dcterms:modified xsi:type="dcterms:W3CDTF">2026-08-09T16:02:20+00:00</dcterms:modified>
</cp:coreProperties>
</file>